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t xml:space="preserve">Per le correlazioni dinamiche del trimero a catena aperta ho eseguito il circuito con l'ancilla su tutte le 81 combinazioni </w:t>
      </w:r>
      <w:r>
        <w:rPr>
          <w:i/>
          <w:iCs/>
        </w:rPr>
        <w:t xml:space="preserve">C</w:t>
      </w:r>
      <w:r>
        <w:rPr>
          <w:i/>
          <w:iCs/>
          <w:vertAlign w:val="subscript"/>
        </w:rPr>
        <w:t xml:space="preserve">ij</w:t>
      </w:r>
      <w:r>
        <w:rPr>
          <w:i/>
          <w:iCs/>
          <w:vertAlign w:val="superscript"/>
        </w:rPr>
        <w:t xml:space="preserve">αβ</w:t>
      </w:r>
      <w:r>
        <w:t xml:space="preserve">(</w:t>
      </w:r>
      <w:r>
        <w:rPr>
          <w:i/>
          <w:iCs/>
        </w:rPr>
        <w:t xml:space="preserve">t</w:t>
      </w:r>
      <w:r>
        <w:t xml:space="preserve">) = ⟨</w:t>
      </w:r>
      <w:r>
        <w:rPr>
          <w:i/>
          <w:iCs/>
        </w:rPr>
        <w:t xml:space="preserve">σ</w:t>
      </w:r>
      <w:r>
        <w:rPr>
          <w:i/>
          <w:iCs/>
          <w:vertAlign w:val="subscript"/>
        </w:rPr>
        <w:t xml:space="preserve">i</w:t>
      </w:r>
      <w:r>
        <w:rPr>
          <w:i/>
          <w:iCs/>
          <w:vertAlign w:val="superscript"/>
        </w:rPr>
        <w:t xml:space="preserve">α</w:t>
      </w:r>
      <w:r>
        <w:t xml:space="preserve">(</w:t>
      </w:r>
      <w:r>
        <w:rPr>
          <w:i/>
          <w:iCs/>
        </w:rPr>
        <w:t xml:space="preserve">t</w:t>
      </w:r>
      <w:r>
        <w:t xml:space="preserve">) </w:t>
      </w:r>
      <w:r>
        <w:rPr>
          <w:i/>
          <w:iCs/>
        </w:rPr>
        <w:t xml:space="preserve">σ</w:t>
      </w:r>
      <w:r>
        <w:rPr>
          <w:i/>
          <w:iCs/>
          <w:vertAlign w:val="subscript"/>
        </w:rPr>
        <w:t xml:space="preserve">j</w:t>
      </w:r>
      <w:r>
        <w:rPr>
          <w:i/>
          <w:iCs/>
          <w:vertAlign w:val="superscript"/>
        </w:rPr>
        <w:t xml:space="preserve">β</w:t>
      </w:r>
      <w:r>
        <w:t xml:space="preserve">(0)⟩ (</w:t>
      </w:r>
      <w:r>
        <w:rPr>
          <w:i/>
          <w:iCs/>
        </w:rPr>
        <w:t xml:space="preserve">i</w:t>
      </w:r>
      <w:r>
        <w:t xml:space="preserve">,</w:t>
      </w:r>
      <w:r>
        <w:rPr>
          <w:i/>
          <w:iCs/>
        </w:rPr>
        <w:t xml:space="preserve">j</w:t>
      </w:r>
      <w:r>
        <w:t xml:space="preserve">∈{1,2,3}, α,β∈{</w:t>
      </w:r>
      <w:r>
        <w:rPr>
          <w:i/>
          <w:iCs/>
        </w:rPr>
        <w:t xml:space="preserve">x</w:t>
      </w:r>
      <w:r>
        <w:t xml:space="preserve">,</w:t>
      </w:r>
      <w:r>
        <w:rPr>
          <w:i/>
          <w:iCs/>
        </w:rPr>
        <w:t xml:space="preserve">y</w:t>
      </w:r>
      <w:r>
        <w:t xml:space="preserve">,</w:t>
      </w:r>
      <w:r>
        <w:rPr>
          <w:i/>
          <w:iCs/>
        </w:rPr>
        <w:t xml:space="preserve">z</w:t>
      </w:r>
      <w:r>
        <w:t xml:space="preserve">}), al punto di lavoro </w:t>
      </w:r>
      <w:r>
        <w:rPr>
          <w:i/>
          <w:iCs/>
        </w:rPr>
        <w:t xml:space="preserve">J</w:t>
      </w:r>
      <w:r>
        <w:t xml:space="preserve">=1, </w:t>
      </w:r>
      <w:r>
        <w:rPr>
          <w:i/>
          <w:iCs/>
        </w:rPr>
        <w:t xml:space="preserve">b</w:t>
      </w:r>
      <w:r>
        <w:t xml:space="preserve">=</w:t>
      </w:r>
      <w:r>
        <w:rPr>
          <w:i/>
          <w:iCs/>
        </w:rPr>
        <w:t xml:space="preserve">b</w:t>
      </w:r>
      <w:r>
        <w:rPr>
          <w:i/>
          <w:iCs/>
          <w:vertAlign w:val="subscript"/>
        </w:rPr>
        <w:t xml:space="preserve">c</w:t>
      </w:r>
      <w:r>
        <w:t xml:space="preserve">=3.0, </w:t>
      </w:r>
      <w:r>
        <w:rPr>
          <w:i/>
          <w:iCs/>
        </w:rPr>
        <w:t xml:space="preserve">D</w:t>
      </w:r>
      <w:r>
        <w:t xml:space="preserve">=0.15, partendo dal ground state VQE già trovato (ansatz </w:t>
      </w:r>
      <w:r>
        <w:t xml:space="preserve">W-2qC.K2</w:t>
      </w:r>
      <w:r>
        <w:t xml:space="preserve">, fedeltà </w:t>
      </w:r>
      <w:r>
        <w:rPr>
          <w:i/>
          <w:iCs/>
        </w:rPr>
        <w:t xml:space="preserve">F</w:t>
      </w:r>
      <w:r>
        <w:t xml:space="preserve">=1 a precisione macchina). Il conteggio delle combinazioni resta 81 come nell'anello, nonostante qui i legami fisici siano due (1-2 e 2-3) invece di tre: dipende da quanti </w:t>
      </w:r>
      <w:r>
        <w:t xml:space="preserve">siti</w:t>
      </w:r>
      <w:r>
        <w:t xml:space="preserve"> ha il sistema, non da quanti legami ha l'Hamiltoniana — </w:t>
      </w:r>
      <w:r>
        <w:rPr>
          <w:i/>
          <w:iCs/>
        </w:rPr>
        <w:t xml:space="preserve">C</w:t>
      </w:r>
      <w:r>
        <w:rPr>
          <w:i/>
          <w:iCs/>
          <w:vertAlign w:val="subscript"/>
        </w:rPr>
        <w:t xml:space="preserve">13</w:t>
      </w:r>
      <w:r>
        <w:t xml:space="preserve">, per esempio, è un correlatore ben definito anche se il legame 1-3 non esiste, perché l'evoluzione lo fa comunque passare per il sito 2 di mezzo.</w:t>
      </w:r>
    </w:p>
    <w:p>
      <w:pPr>
        <w:spacing w:after="200"/>
        <w:jc w:val="both"/>
      </w:pPr>
      <w:r>
        <w:t xml:space="preserve">Anche qui, come per l'anello, prima di scrivere il circuito ho cercato una simmetria residua dell'Hamiltoniana con il termine DM acceso. Mi aspettavo di dover ripetere la stessa costruzione trovata per l'anello: scambiare due siti e aggiungere una rotazione </w:t>
      </w:r>
      <w:r>
        <w:rPr>
          <w:i/>
          <w:iCs/>
        </w:rPr>
        <w:t xml:space="preserve">R</w:t>
      </w:r>
      <w:r>
        <w:rPr>
          <w:i/>
          <w:iCs/>
          <w:vertAlign w:val="subscript"/>
        </w:rPr>
        <w:t xml:space="preserve">z</w:t>
      </w:r>
      <w:r>
        <w:t xml:space="preserve">(π) su </w:t>
      </w:r>
      <w:r>
        <w:t xml:space="preserve">tutti e tre</w:t>
      </w:r>
      <w:r>
        <w:t xml:space="preserve"> i qubit (anche quello non coinvolto nello scambio), perché nell'anello il solo scambio non bastava — il termine DM cambiava segno. Per la catena il sito che resta fisso sotto lo scambio non è più il terzo vertice di un triangolo ma il sito centrale (sito 2), quindi ho provato prima l'estensione per analogia, e solo dopo, non trovando ragioni per farlo funzionare diversamente, il caso più semplice:</w:t>
      </w:r>
    </w:p>
    <w:p>
      <w:pPr>
        <w:spacing w:after="120"/>
        <w:jc w:val="center"/>
      </w:pPr>
      <w:r>
        <w:drawing>
          <wp:inline distT="0" distB="0" distL="0" distR="0">
            <wp:extent cx="57626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1876425"/>
                    </a:xfrm>
                    <a:prstGeom prst="rect">
                      <a:avLst/>
                    </a:prstGeom>
                  </pic:spPr>
                </pic:pic>
              </a:graphicData>
            </a:graphic>
          </wp:inline>
        </w:drawing>
      </w:r>
    </w:p>
    <w:p>
      <w:pPr>
        <w:spacing w:after="240"/>
        <w:jc w:val="center"/>
      </w:pPr>
      <w:r>
        <w:rPr>
          <w:i/>
          <w:iCs/>
          <w:sz w:val="19"/>
          <w:szCs w:val="19"/>
        </w:rPr>
        <w:t xml:space="preserve">A sinistra, quello che mi aspettavo per analogia con l'anello. A destra, quello che ho trovato bastare: il solo scambio </w:t>
      </w:r>
      <w:r>
        <w:rPr>
          <w:i/>
          <w:iCs/>
          <w:sz w:val="19"/>
          <w:szCs w:val="19"/>
        </w:rPr>
        <w:t xml:space="preserve">P</w:t>
      </w:r>
      <w:r>
        <w:rPr>
          <w:i/>
          <w:iCs/>
          <w:sz w:val="19"/>
          <w:szCs w:val="19"/>
          <w:vertAlign w:val="subscript"/>
        </w:rPr>
        <w:t xml:space="preserve">13</w:t>
      </w:r>
      <w:r>
        <w:rPr>
          <w:i/>
          <w:iCs/>
          <w:sz w:val="19"/>
          <w:szCs w:val="19"/>
        </w:rPr>
        <w:t xml:space="preserve"> (sito 1 ↔ sito 3, sito 2 fisso), senza alcuna rotazione aggiuntiva.</w:t>
      </w:r>
    </w:p>
    <w:p>
      <w:pPr>
        <w:spacing w:after="200"/>
        <w:jc w:val="both"/>
      </w:pPr>
      <w:r>
        <w:t xml:space="preserve">Ho controllato numericamente entrambe le possibilità: il commutatore [</w:t>
      </w:r>
      <w:r>
        <w:rPr>
          <w:i/>
          <w:iCs/>
        </w:rPr>
        <w:t xml:space="preserve">P</w:t>
      </w:r>
      <w:r>
        <w:rPr>
          <w:i/>
          <w:iCs/>
          <w:vertAlign w:val="subscript"/>
        </w:rPr>
        <w:t xml:space="preserve">13</w:t>
      </w:r>
      <w:r>
        <w:t xml:space="preserve">, </w:t>
      </w:r>
      <w:r>
        <w:rPr>
          <w:i/>
          <w:iCs/>
        </w:rPr>
        <w:t xml:space="preserve">H</w:t>
      </w:r>
      <w:r>
        <w:t xml:space="preserve">] è esattamente zero, a precisione macchina, su 20 punti casuali (</w:t>
      </w:r>
      <w:r>
        <w:rPr>
          <w:i/>
          <w:iCs/>
        </w:rPr>
        <w:t xml:space="preserve">J</w:t>
      </w:r>
      <w:r>
        <w:t xml:space="preserve">,</w:t>
      </w:r>
      <w:r>
        <w:rPr>
          <w:i/>
          <w:iCs/>
        </w:rPr>
        <w:t xml:space="preserve">b</w:t>
      </w:r>
      <w:r>
        <w:t xml:space="preserve">,</w:t>
      </w:r>
      <w:r>
        <w:rPr>
          <w:i/>
          <w:iCs/>
        </w:rPr>
        <w:t xml:space="preserve">D</w:t>
      </w:r>
      <w:r>
        <w:t xml:space="preserve">). Il motivo per cui qui basta meno che nell'anello è nel segno del termine DM: nella catena i due legami hanno segno opposto per costruzione (</w:t>
      </w:r>
      <w:r>
        <w:rPr>
          <w:i/>
          <w:iCs/>
        </w:rPr>
        <w:t xml:space="preserve">D</w:t>
      </w:r>
      <w:r>
        <w:rPr>
          <w:i/>
          <w:iCs/>
          <w:vertAlign w:val="subscript"/>
        </w:rPr>
        <w:t xml:space="preserve">12</w:t>
      </w:r>
      <w:r>
        <w:t xml:space="preserve">=−</w:t>
      </w:r>
      <w:r>
        <w:rPr>
          <w:i/>
          <w:iCs/>
        </w:rPr>
        <w:t xml:space="preserve">D</w:t>
      </w:r>
      <w:r>
        <w:rPr>
          <w:i/>
          <w:iCs/>
          <w:vertAlign w:val="subscript"/>
        </w:rPr>
        <w:t xml:space="preserve">23</w:t>
      </w:r>
      <w:r>
        <w:t xml:space="preserve">=</w:t>
      </w:r>
      <w:r>
        <w:rPr>
          <w:i/>
          <w:iCs/>
        </w:rPr>
        <w:t xml:space="preserve">D</w:t>
      </w:r>
      <w:r>
        <w:t xml:space="preserve">), ed è proprio questa scelta di segno — non una rotazione aggiuntiva — a rendere lo scambio puro una simmetria esatta. Con il segno opposto (</w:t>
      </w:r>
      <w:r>
        <w:rPr>
          <w:i/>
          <w:iCs/>
        </w:rPr>
        <w:t xml:space="preserve">D</w:t>
      </w:r>
      <w:r>
        <w:rPr>
          <w:i/>
          <w:iCs/>
          <w:vertAlign w:val="subscript"/>
        </w:rPr>
        <w:t xml:space="preserve">12</w:t>
      </w:r>
      <w:r>
        <w:t xml:space="preserve">=</w:t>
      </w:r>
      <w:r>
        <w:rPr>
          <w:i/>
          <w:iCs/>
        </w:rPr>
        <w:t xml:space="preserve">D</w:t>
      </w:r>
      <w:r>
        <w:rPr>
          <w:i/>
          <w:iCs/>
          <w:vertAlign w:val="subscript"/>
        </w:rPr>
        <w:t xml:space="preserve">23</w:t>
      </w:r>
      <w:r>
        <w:t xml:space="preserve">) l'operazione smette del tutto di essere una simmetria: il commutatore sale a circa 1.7, non un residuo piccolo.</w:t>
      </w:r>
    </w:p>
    <w:p>
      <w:pPr>
        <w:spacing w:after="200"/>
        <w:jc w:val="both"/>
      </w:pPr>
      <w:r>
        <w:t xml:space="preserve">La parte che mi interessava di più era la conseguenza sul sito che resta fisso nello scambio — nell'anello era il sito 3, e la relazione di simmetria lo costringeva a quattro correlatori identicamente nulli per ogni </w:t>
      </w:r>
      <w:r>
        <w:rPr>
          <w:i/>
          <w:iCs/>
        </w:rPr>
        <w:t xml:space="preserve">t</w:t>
      </w:r>
      <w:r>
        <w:t xml:space="preserve"> (ogni volta che una componente era </w:t>
      </w:r>
      <w:r>
        <w:rPr>
          <w:i/>
          <w:iCs/>
        </w:rPr>
        <w:t xml:space="preserve">z</w:t>
      </w:r>
      <w:r>
        <w:t xml:space="preserve"> e l'altra </w:t>
      </w:r>
      <w:r>
        <w:rPr>
          <w:i/>
          <w:iCs/>
        </w:rPr>
        <w:t xml:space="preserve">x</w:t>
      </w:r>
      <w:r>
        <w:t xml:space="preserve"> o </w:t>
      </w:r>
      <w:r>
        <w:rPr>
          <w:i/>
          <w:iCs/>
        </w:rPr>
        <w:t xml:space="preserve">y</w:t>
      </w:r>
      <w:r>
        <w:t xml:space="preserve">). Qui il sito fisso è il sito 2, ma la conseguenza è </w:t>
      </w:r>
      <w:r>
        <w:rPr>
          <w:b/>
          <w:bCs/>
        </w:rPr>
        <w:t xml:space="preserve">l'opposta</w:t>
      </w:r>
      <w:r>
        <w:t xml:space="preserve">: lo scambio </w:t>
      </w:r>
      <w:r>
        <w:rPr>
          <w:i/>
          <w:iCs/>
        </w:rPr>
        <w:t xml:space="preserve">P</w:t>
      </w:r>
      <w:r>
        <w:rPr>
          <w:i/>
          <w:iCs/>
          <w:vertAlign w:val="subscript"/>
        </w:rPr>
        <w:t xml:space="preserve">13</w:t>
      </w:r>
      <w:r>
        <w:t xml:space="preserve"> non porta nessun segno (a differenza della rotazione dell'anello, che ne portava due su tre componenti), quindi la relazione diventa </w:t>
      </w:r>
      <w:r>
        <w:rPr>
          <w:i/>
          <w:iCs/>
        </w:rPr>
        <w:t xml:space="preserve">C</w:t>
      </w:r>
      <w:r>
        <w:rPr>
          <w:i/>
          <w:iCs/>
          <w:vertAlign w:val="subscript"/>
        </w:rPr>
        <w:t xml:space="preserve">22</w:t>
      </w:r>
      <w:r>
        <w:rPr>
          <w:i/>
          <w:iCs/>
          <w:vertAlign w:val="superscript"/>
        </w:rPr>
        <w:t xml:space="preserve">αβ</w:t>
      </w:r>
      <w:r>
        <w:t xml:space="preserve">(</w:t>
      </w:r>
      <w:r>
        <w:rPr>
          <w:i/>
          <w:iCs/>
        </w:rPr>
        <w:t xml:space="preserve">t</w:t>
      </w:r>
      <w:r>
        <w:t xml:space="preserve">)=</w:t>
      </w:r>
      <w:r>
        <w:rPr>
          <w:i/>
          <w:iCs/>
        </w:rPr>
        <w:t xml:space="preserve">C</w:t>
      </w:r>
      <w:r>
        <w:rPr>
          <w:i/>
          <w:iCs/>
          <w:vertAlign w:val="subscript"/>
        </w:rPr>
        <w:t xml:space="preserve">22</w:t>
      </w:r>
      <w:r>
        <w:rPr>
          <w:i/>
          <w:iCs/>
          <w:vertAlign w:val="superscript"/>
        </w:rPr>
        <w:t xml:space="preserve">αβ</w:t>
      </w:r>
      <w:r>
        <w:t xml:space="preserve">(</w:t>
      </w:r>
      <w:r>
        <w:rPr>
          <w:i/>
          <w:iCs/>
        </w:rPr>
        <w:t xml:space="preserve">t</w:t>
      </w:r>
      <w:r>
        <w:t xml:space="preserve">), cioè non dice nulla di nuovo — nessuno zero forzato sul sito 2, per nessuna combinazione. Quello che la simmetria dà davvero sono uguaglianze fra correlatori diversi: </w:t>
      </w:r>
      <w:r>
        <w:rPr>
          <w:i/>
          <w:iCs/>
        </w:rPr>
        <w:t xml:space="preserve">C</w:t>
      </w:r>
      <w:r>
        <w:rPr>
          <w:i/>
          <w:iCs/>
          <w:vertAlign w:val="subscript"/>
        </w:rPr>
        <w:t xml:space="preserve">11</w:t>
      </w:r>
      <w:r>
        <w:t xml:space="preserve">≡</w:t>
      </w:r>
      <w:r>
        <w:rPr>
          <w:i/>
          <w:iCs/>
        </w:rPr>
        <w:t xml:space="preserve">C</w:t>
      </w:r>
      <w:r>
        <w:rPr>
          <w:i/>
          <w:iCs/>
          <w:vertAlign w:val="subscript"/>
        </w:rPr>
        <w:t xml:space="preserve">33</w:t>
      </w:r>
      <w:r>
        <w:t xml:space="preserve">, </w:t>
      </w:r>
      <w:r>
        <w:rPr>
          <w:i/>
          <w:iCs/>
        </w:rPr>
        <w:t xml:space="preserve">C</w:t>
      </w:r>
      <w:r>
        <w:rPr>
          <w:i/>
          <w:iCs/>
          <w:vertAlign w:val="subscript"/>
        </w:rPr>
        <w:t xml:space="preserve">12</w:t>
      </w:r>
      <w:r>
        <w:t xml:space="preserve">≡</w:t>
      </w:r>
      <w:r>
        <w:rPr>
          <w:i/>
          <w:iCs/>
        </w:rPr>
        <w:t xml:space="preserve">C</w:t>
      </w:r>
      <w:r>
        <w:rPr>
          <w:i/>
          <w:iCs/>
          <w:vertAlign w:val="subscript"/>
        </w:rPr>
        <w:t xml:space="preserve">32</w:t>
      </w:r>
      <w:r>
        <w:t xml:space="preserve">, </w:t>
      </w:r>
      <w:r>
        <w:rPr>
          <w:i/>
          <w:iCs/>
        </w:rPr>
        <w:t xml:space="preserve">C</w:t>
      </w:r>
      <w:r>
        <w:rPr>
          <w:i/>
          <w:iCs/>
          <w:vertAlign w:val="subscript"/>
        </w:rPr>
        <w:t xml:space="preserve">21</w:t>
      </w:r>
      <w:r>
        <w:t xml:space="preserve">≡</w:t>
      </w:r>
      <w:r>
        <w:rPr>
          <w:i/>
          <w:iCs/>
        </w:rPr>
        <w:t xml:space="preserve">C</w:t>
      </w:r>
      <w:r>
        <w:rPr>
          <w:i/>
          <w:iCs/>
          <w:vertAlign w:val="subscript"/>
        </w:rPr>
        <w:t xml:space="preserve">23</w:t>
      </w:r>
      <w:r>
        <w:t xml:space="preserve">, </w:t>
      </w:r>
      <w:r>
        <w:rPr>
          <w:i/>
          <w:iCs/>
        </w:rPr>
        <w:t xml:space="preserve">C</w:t>
      </w:r>
      <w:r>
        <w:rPr>
          <w:i/>
          <w:iCs/>
          <w:vertAlign w:val="subscript"/>
        </w:rPr>
        <w:t xml:space="preserve">13</w:t>
      </w:r>
      <w:r>
        <w:t xml:space="preserve">≡</w:t>
      </w:r>
      <w:r>
        <w:rPr>
          <w:i/>
          <w:iCs/>
        </w:rPr>
        <w:t xml:space="preserve">C</w:t>
      </w:r>
      <w:r>
        <w:rPr>
          <w:i/>
          <w:iCs/>
          <w:vertAlign w:val="subscript"/>
        </w:rPr>
        <w:t xml:space="preserve">31</w:t>
      </w:r>
      <w:r>
        <w:t xml:space="preserve"> (verificate entro l'errore di Trotter, anche via circuito).</w:t>
      </w:r>
    </w:p>
    <w:p>
      <w:pPr>
        <w:spacing w:after="200"/>
        <w:jc w:val="both"/>
      </w:pPr>
      <w:r>
        <w:t xml:space="preserve">Per distinguere i comportamenti uso lo stesso criterio spettrale già discusso per l'anello: inserendo la relazione di completezza sugli autostati |</w:t>
      </w:r>
      <w:r>
        <w:rPr>
          <w:i/>
          <w:iCs/>
        </w:rPr>
        <w:t xml:space="preserve">k</w:t>
      </w:r>
      <w:r>
        <w:t xml:space="preserve">⟩ di </w:t>
      </w:r>
      <w:r>
        <w:rPr>
          <w:i/>
          <w:iCs/>
        </w:rPr>
        <w:t xml:space="preserve">H</w:t>
      </w:r>
      <w:r>
        <w:t xml:space="preserve"> fra le due misure, il correlatore si scompone in una somma di 8 termini oscillanti di ampiezza |</w:t>
      </w:r>
      <w:r>
        <w:rPr>
          <w:i/>
          <w:iCs/>
        </w:rPr>
        <w:t xml:space="preserve">a</w:t>
      </w:r>
      <w:r>
        <w:rPr>
          <w:i/>
          <w:iCs/>
          <w:vertAlign w:val="subscript"/>
        </w:rPr>
        <w:t xml:space="preserve">k</w:t>
      </w:r>
      <w:r>
        <w:rPr>
          <w:i/>
          <w:iCs/>
        </w:rPr>
        <w:t xml:space="preserve">b</w:t>
      </w:r>
      <w:r>
        <w:rPr>
          <w:i/>
          <w:iCs/>
          <w:vertAlign w:val="subscript"/>
        </w:rPr>
        <w:t xml:space="preserve">k</w:t>
      </w:r>
      <w:r>
        <w:t xml:space="preserve">|. Un esempio "ricco" (più modi con peso comparabile):</w:t>
      </w:r>
    </w:p>
    <w:p>
      <w:pPr>
        <w:spacing w:after="120"/>
        <w:jc w:val="center"/>
      </w:pPr>
      <w:r>
        <w:drawing>
          <wp:inline distT="0" distB="0" distL="0" distR="0">
            <wp:extent cx="57626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1905000"/>
                    </a:xfrm>
                    <a:prstGeom prst="rect">
                      <a:avLst/>
                    </a:prstGeom>
                  </pic:spPr>
                </pic:pic>
              </a:graphicData>
            </a:graphic>
          </wp:inline>
        </w:drawing>
      </w:r>
    </w:p>
    <w:p>
      <w:pPr>
        <w:spacing w:after="240"/>
        <w:jc w:val="center"/>
      </w:pPr>
      <w:r>
        <w:rPr>
          <w:i/>
          <w:iCs/>
          <w:sz w:val="19"/>
          <w:szCs w:val="19"/>
        </w:rPr>
        <w:t xml:space="preserve">C</w:t>
      </w:r>
      <w:r>
        <w:rPr>
          <w:i/>
          <w:iCs/>
          <w:sz w:val="19"/>
          <w:szCs w:val="19"/>
          <w:vertAlign w:val="subscript"/>
        </w:rPr>
        <w:t xml:space="preserve">11</w:t>
      </w:r>
      <w:r>
        <w:rPr>
          <w:i/>
          <w:iCs/>
          <w:sz w:val="19"/>
          <w:szCs w:val="19"/>
          <w:vertAlign w:val="superscript"/>
        </w:rPr>
        <w:t xml:space="preserve">yy</w:t>
      </w:r>
      <w:r>
        <w:rPr>
          <w:i/>
          <w:iCs/>
          <w:sz w:val="19"/>
          <w:szCs w:val="19"/>
        </w:rPr>
        <w:t xml:space="preserve">(</w:t>
      </w:r>
      <w:r>
        <w:rPr>
          <w:i/>
          <w:iCs/>
          <w:sz w:val="19"/>
          <w:szCs w:val="19"/>
        </w:rPr>
        <w:t xml:space="preserve">t</w:t>
      </w:r>
      <w:r>
        <w:rPr>
          <w:i/>
          <w:iCs/>
          <w:sz w:val="19"/>
          <w:szCs w:val="19"/>
        </w:rPr>
        <w:t xml:space="preserve">): in verde il classico esatto, in rosso i punti dal circuito (</w:t>
      </w:r>
      <w:r>
        <w:rPr>
          <w:i/>
          <w:iCs/>
          <w:sz w:val="19"/>
          <w:szCs w:val="19"/>
        </w:rPr>
        <w:t xml:space="preserve">N</w:t>
      </w:r>
      <w:r>
        <w:rPr>
          <w:i/>
          <w:iCs/>
          <w:sz w:val="19"/>
          <w:szCs w:val="19"/>
        </w:rPr>
        <w:t xml:space="preserve">=200 passi di Trotter). A destra lo spettro |</w:t>
      </w:r>
      <w:r>
        <w:rPr>
          <w:i/>
          <w:iCs/>
          <w:sz w:val="19"/>
          <w:szCs w:val="19"/>
        </w:rPr>
        <w:t xml:space="preserve">a</w:t>
      </w:r>
      <w:r>
        <w:rPr>
          <w:i/>
          <w:iCs/>
          <w:sz w:val="19"/>
          <w:szCs w:val="19"/>
          <w:vertAlign w:val="subscript"/>
        </w:rPr>
        <w:t xml:space="preserve">k</w:t>
      </w:r>
      <w:r>
        <w:rPr>
          <w:i/>
          <w:iCs/>
          <w:sz w:val="19"/>
          <w:szCs w:val="19"/>
        </w:rPr>
        <w:t xml:space="preserve">b</w:t>
      </w:r>
      <w:r>
        <w:rPr>
          <w:i/>
          <w:iCs/>
          <w:sz w:val="19"/>
          <w:szCs w:val="19"/>
          <w:vertAlign w:val="subscript"/>
        </w:rPr>
        <w:t xml:space="preserve">k</w:t>
      </w:r>
      <w:r>
        <w:rPr>
          <w:i/>
          <w:iCs/>
          <w:sz w:val="19"/>
          <w:szCs w:val="19"/>
        </w:rPr>
        <w:t xml:space="preserve">|: cinque canali non trascurabili, nessuno dominante in modo netto — è questa sovrapposizione a dare la forma irregolare.</w:t>
      </w:r>
    </w:p>
    <w:p>
      <w:pPr>
        <w:spacing w:after="200"/>
        <w:jc w:val="both"/>
      </w:pPr>
      <w:r>
        <w:t xml:space="preserve">La cosa che mi ha sorpreso di più è successa proprio guardando il sito 2, quello che nell'anello avrebbe dato uno zero strutturale. Qui non solo non è zero: è genericamente uno dei correlatori più intensi della scansione. C'è però un dettaglio interessante a </w:t>
      </w:r>
      <w:r>
        <w:rPr>
          <w:i/>
          <w:iCs/>
        </w:rPr>
        <w:t xml:space="preserve">t</w:t>
      </w:r>
      <w:r>
        <w:t xml:space="preserve">=0, dove </w:t>
      </w:r>
      <w:r>
        <w:rPr>
          <w:i/>
          <w:iCs/>
        </w:rPr>
        <w:t xml:space="preserve">C</w:t>
      </w:r>
      <w:r>
        <w:rPr>
          <w:i/>
          <w:iCs/>
          <w:vertAlign w:val="subscript"/>
        </w:rPr>
        <w:t xml:space="preserve">22</w:t>
      </w:r>
      <w:r>
        <w:rPr>
          <w:i/>
          <w:iCs/>
          <w:vertAlign w:val="superscript"/>
        </w:rPr>
        <w:t xml:space="preserve">xz</w:t>
      </w:r>
      <w:r>
        <w:t xml:space="preserve">(0) risulta esattamente zero — ma per un motivo del tutto diverso dalla simmetria </w:t>
      </w:r>
      <w:r>
        <w:rPr>
          <w:i/>
          <w:iCs/>
        </w:rPr>
        <w:t xml:space="preserve">P</w:t>
      </w:r>
      <w:r>
        <w:rPr>
          <w:i/>
          <w:iCs/>
          <w:vertAlign w:val="subscript"/>
        </w:rPr>
        <w:t xml:space="preserve">13</w:t>
      </w:r>
      <w:r>
        <w:t xml:space="preserve">: lo stato fondamentale è reale (a meno di una fase globale), e per uno stato reale il valore di aspettazione di </w:t>
      </w:r>
      <w:r>
        <w:rPr>
          <w:i/>
          <w:iCs/>
        </w:rPr>
        <w:t xml:space="preserve">σ</w:t>
      </w:r>
      <w:r>
        <w:rPr>
          <w:i/>
          <w:iCs/>
          <w:vertAlign w:val="superscript"/>
        </w:rPr>
        <w:t xml:space="preserve">y</w:t>
      </w:r>
      <w:r>
        <w:t xml:space="preserve"> su un singolo sito è sempre zero — da qui, tramite </w:t>
      </w:r>
      <w:r>
        <w:rPr>
          <w:i/>
          <w:iCs/>
        </w:rPr>
        <w:t xml:space="preserve">σ</w:t>
      </w:r>
      <w:r>
        <w:rPr>
          <w:i/>
          <w:iCs/>
          <w:vertAlign w:val="superscript"/>
        </w:rPr>
        <w:t xml:space="preserve">x</w:t>
      </w:r>
      <w:r>
        <w:rPr>
          <w:i/>
          <w:iCs/>
        </w:rPr>
        <w:t xml:space="preserve">σ</w:t>
      </w:r>
      <w:r>
        <w:rPr>
          <w:i/>
          <w:iCs/>
          <w:vertAlign w:val="superscript"/>
        </w:rPr>
        <w:t xml:space="preserve">z</w:t>
      </w:r>
      <w:r>
        <w:t xml:space="preserve">=−</w:t>
      </w:r>
      <w:r>
        <w:rPr>
          <w:i/>
          <w:iCs/>
        </w:rPr>
        <w:t xml:space="preserve">i</w:t>
      </w:r>
      <w:r>
        <w:rPr>
          <w:i/>
          <w:iCs/>
        </w:rPr>
        <w:t xml:space="preserve">σ</w:t>
      </w:r>
      <w:r>
        <w:rPr>
          <w:i/>
          <w:iCs/>
          <w:vertAlign w:val="superscript"/>
        </w:rPr>
        <w:t xml:space="preserve">y</w:t>
      </w:r>
      <w:r>
        <w:t xml:space="preserve">, segue </w:t>
      </w:r>
      <w:r>
        <w:rPr>
          <w:i/>
          <w:iCs/>
        </w:rPr>
        <w:t xml:space="preserve">C</w:t>
      </w:r>
      <w:r>
        <w:rPr>
          <w:i/>
          <w:iCs/>
          <w:vertAlign w:val="subscript"/>
        </w:rPr>
        <w:t xml:space="preserve">22</w:t>
      </w:r>
      <w:r>
        <w:rPr>
          <w:i/>
          <w:iCs/>
          <w:vertAlign w:val="superscript"/>
        </w:rPr>
        <w:t xml:space="preserve">xz</w:t>
      </w:r>
      <w:r>
        <w:t xml:space="preserve">(0)=0. È uno zero puntuale, non uno zero "per ogni </w:t>
      </w:r>
      <w:r>
        <w:rPr>
          <w:i/>
          <w:iCs/>
        </w:rPr>
        <w:t xml:space="preserve">t</w:t>
      </w:r>
      <w:r>
        <w:t xml:space="preserve">" come quelli dell'anello: appena </w:t>
      </w:r>
      <w:r>
        <w:rPr>
          <w:i/>
          <w:iCs/>
        </w:rPr>
        <w:t xml:space="preserve">t</w:t>
      </w:r>
      <w:r>
        <w:t xml:space="preserve"> si allontana da 0 il correlatore cresce rapidamente, fino a circa 0.5:</w:t>
      </w:r>
    </w:p>
    <w:p>
      <w:pPr>
        <w:spacing w:after="120"/>
        <w:jc w:val="center"/>
      </w:pPr>
      <w:r>
        <w:drawing>
          <wp:inline distT="0" distB="0" distL="0" distR="0">
            <wp:extent cx="57626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76425"/>
                    </a:xfrm>
                    <a:prstGeom prst="rect">
                      <a:avLst/>
                    </a:prstGeom>
                  </pic:spPr>
                </pic:pic>
              </a:graphicData>
            </a:graphic>
          </wp:inline>
        </w:drawing>
      </w:r>
    </w:p>
    <w:p>
      <w:pPr>
        <w:spacing w:after="240"/>
        <w:jc w:val="center"/>
      </w:pPr>
      <w:r>
        <w:rPr>
          <w:i/>
          <w:iCs/>
          <w:sz w:val="19"/>
          <w:szCs w:val="19"/>
        </w:rPr>
        <w:t xml:space="preserve">C</w:t>
      </w:r>
      <w:r>
        <w:rPr>
          <w:i/>
          <w:iCs/>
          <w:sz w:val="19"/>
          <w:szCs w:val="19"/>
          <w:vertAlign w:val="subscript"/>
        </w:rPr>
        <w:t xml:space="preserve">22</w:t>
      </w:r>
      <w:r>
        <w:rPr>
          <w:i/>
          <w:iCs/>
          <w:sz w:val="19"/>
          <w:szCs w:val="19"/>
          <w:vertAlign w:val="superscript"/>
        </w:rPr>
        <w:t xml:space="preserve">xz</w:t>
      </w:r>
      <w:r>
        <w:rPr>
          <w:i/>
          <w:iCs/>
          <w:sz w:val="19"/>
          <w:szCs w:val="19"/>
        </w:rPr>
        <w:t xml:space="preserve">(</w:t>
      </w:r>
      <w:r>
        <w:rPr>
          <w:i/>
          <w:iCs/>
          <w:sz w:val="19"/>
          <w:szCs w:val="19"/>
        </w:rPr>
        <w:t xml:space="preserve">t</w:t>
      </w:r>
      <w:r>
        <w:rPr>
          <w:i/>
          <w:iCs/>
          <w:sz w:val="19"/>
          <w:szCs w:val="19"/>
        </w:rPr>
        <w:t xml:space="preserve">): il cerchio vuoto a </w:t>
      </w:r>
      <w:r>
        <w:rPr>
          <w:i/>
          <w:iCs/>
          <w:sz w:val="19"/>
          <w:szCs w:val="19"/>
        </w:rPr>
        <w:t xml:space="preserve">t</w:t>
      </w:r>
      <w:r>
        <w:rPr>
          <w:i/>
          <w:iCs/>
          <w:sz w:val="19"/>
          <w:szCs w:val="19"/>
        </w:rPr>
        <w:t xml:space="preserve">=0 è lo zero puntuale appena descritto, confermato a precisione macchina sia sul classico sia sul circuito. Per </w:t>
      </w:r>
      <w:r>
        <w:rPr>
          <w:i/>
          <w:iCs/>
          <w:sz w:val="19"/>
          <w:szCs w:val="19"/>
        </w:rPr>
        <w:t xml:space="preserve">t</w:t>
      </w:r>
      <w:r>
        <w:rPr>
          <w:i/>
          <w:iCs/>
          <w:sz w:val="19"/>
          <w:szCs w:val="19"/>
        </w:rPr>
        <w:t xml:space="preserve">&gt;0 non c'è più traccia dello zero — a differenza di un'autocorrelazione mista dell'anello, che sarebbe rimasta a zero su tutto l'asse.</w:t>
      </w:r>
    </w:p>
    <w:p>
      <w:pPr>
        <w:spacing w:after="200"/>
        <w:jc w:val="both"/>
      </w:pPr>
      <w:r>
        <w:t xml:space="preserve">Una vista d'insieme sulle 81 combinazioni, |</w:t>
      </w:r>
      <w:r>
        <w:rPr>
          <w:i/>
          <w:iCs/>
        </w:rPr>
        <w:t xml:space="preserve">C</w:t>
      </w:r>
      <w:r>
        <w:rPr>
          <w:i/>
          <w:iCs/>
          <w:vertAlign w:val="subscript"/>
        </w:rPr>
        <w:t xml:space="preserve">ij</w:t>
      </w:r>
      <w:r>
        <w:rPr>
          <w:i/>
          <w:iCs/>
          <w:vertAlign w:val="superscript"/>
        </w:rPr>
        <w:t xml:space="preserve">αβ</w:t>
      </w:r>
      <w:r>
        <w:t xml:space="preserve">(</w:t>
      </w:r>
      <w:r>
        <w:rPr>
          <w:i/>
          <w:iCs/>
        </w:rPr>
        <w:t xml:space="preserve">t</w:t>
      </w:r>
      <w:r>
        <w:t xml:space="preserve">=1.3)|, misurate dal circuito:</w:t>
      </w:r>
    </w:p>
    <w:p>
      <w:pPr>
        <w:spacing w:after="120"/>
        <w:jc w:val="center"/>
      </w:pPr>
      <w:r>
        <w:drawing>
          <wp:inline distT="0" distB="0" distL="0" distR="0">
            <wp:extent cx="4210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3657600"/>
                    </a:xfrm>
                    <a:prstGeom prst="rect">
                      <a:avLst/>
                    </a:prstGeom>
                  </pic:spPr>
                </pic:pic>
              </a:graphicData>
            </a:graphic>
          </wp:inline>
        </w:drawing>
      </w:r>
    </w:p>
    <w:p>
      <w:pPr>
        <w:spacing w:after="240"/>
        <w:jc w:val="center"/>
      </w:pPr>
      <w:r>
        <w:rPr>
          <w:i/>
          <w:iCs/>
          <w:sz w:val="19"/>
          <w:szCs w:val="19"/>
        </w:rPr>
        <w:t xml:space="preserve">Heatmap di |</w:t>
      </w:r>
      <w:r>
        <w:rPr>
          <w:i/>
          <w:iCs/>
          <w:sz w:val="19"/>
          <w:szCs w:val="19"/>
        </w:rPr>
        <w:t xml:space="preserve">C</w:t>
      </w:r>
      <w:r>
        <w:rPr>
          <w:i/>
          <w:iCs/>
          <w:sz w:val="19"/>
          <w:szCs w:val="19"/>
          <w:vertAlign w:val="subscript"/>
        </w:rPr>
        <w:t xml:space="preserve">ij</w:t>
      </w:r>
      <w:r>
        <w:rPr>
          <w:i/>
          <w:iCs/>
          <w:sz w:val="19"/>
          <w:szCs w:val="19"/>
          <w:vertAlign w:val="superscript"/>
        </w:rPr>
        <w:t xml:space="preserve">αβ</w:t>
      </w:r>
      <w:r>
        <w:rPr>
          <w:i/>
          <w:iCs/>
          <w:sz w:val="19"/>
          <w:szCs w:val="19"/>
        </w:rPr>
        <w:t xml:space="preserve">(</w:t>
      </w:r>
      <w:r>
        <w:rPr>
          <w:i/>
          <w:iCs/>
          <w:sz w:val="19"/>
          <w:szCs w:val="19"/>
        </w:rPr>
        <w:t xml:space="preserve">t</w:t>
      </w:r>
      <w:r>
        <w:rPr>
          <w:i/>
          <w:iCs/>
          <w:sz w:val="19"/>
          <w:szCs w:val="19"/>
        </w:rPr>
        <w:t xml:space="preserve">=1.3)|. Nessun riquadro è scuro in modo strutturale: a differenza dell'anello, qui non c'è alcun blocco previsto a zero — confermato: il valore più basso di tutta la griglia è 0.10, non un residuo di Trotter.</w:t>
      </w:r>
    </w:p>
    <w:p>
      <w:pPr>
        <w:spacing w:after="200"/>
        <w:jc w:val="both"/>
      </w:pPr>
      <w:r>
        <w:t xml:space="preserve">Per essere sicuro che non fosse un caso particolare dell'istante scelto, ho ripetuto la stessa heatmap a </w:t>
      </w:r>
      <w:r>
        <w:rPr>
          <w:i/>
          <w:iCs/>
        </w:rPr>
        <w:t xml:space="preserve">t</w:t>
      </w:r>
      <w:r>
        <w:t xml:space="preserve">=2.7:</w:t>
      </w:r>
    </w:p>
    <w:p>
      <w:pPr>
        <w:spacing w:after="120"/>
        <w:jc w:val="center"/>
      </w:pPr>
      <w:r>
        <w:drawing>
          <wp:inline distT="0" distB="0" distL="0" distR="0">
            <wp:extent cx="4210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3657600"/>
                    </a:xfrm>
                    <a:prstGeom prst="rect">
                      <a:avLst/>
                    </a:prstGeom>
                  </pic:spPr>
                </pic:pic>
              </a:graphicData>
            </a:graphic>
          </wp:inline>
        </w:drawing>
      </w:r>
    </w:p>
    <w:p>
      <w:pPr>
        <w:spacing w:after="240"/>
        <w:jc w:val="center"/>
      </w:pPr>
      <w:r>
        <w:rPr>
          <w:i/>
          <w:iCs/>
          <w:sz w:val="19"/>
          <w:szCs w:val="19"/>
        </w:rPr>
        <w:t xml:space="preserve">Stessa heatmap a </w:t>
      </w:r>
      <w:r>
        <w:rPr>
          <w:i/>
          <w:iCs/>
          <w:sz w:val="19"/>
          <w:szCs w:val="19"/>
        </w:rPr>
        <w:t xml:space="preserve">t</w:t>
      </w:r>
      <w:r>
        <w:rPr>
          <w:i/>
          <w:iCs/>
          <w:sz w:val="19"/>
          <w:szCs w:val="19"/>
        </w:rPr>
        <w:t xml:space="preserve">=2.7. Il pattern cambia parecchio — in particolare </w:t>
      </w:r>
      <w:r>
        <w:rPr>
          <w:i/>
          <w:iCs/>
          <w:sz w:val="19"/>
          <w:szCs w:val="19"/>
        </w:rPr>
        <w:t xml:space="preserve">C</w:t>
      </w:r>
      <w:r>
        <w:rPr>
          <w:i/>
          <w:iCs/>
          <w:sz w:val="19"/>
          <w:szCs w:val="19"/>
          <w:vertAlign w:val="subscript"/>
        </w:rPr>
        <w:t xml:space="preserve">22</w:t>
      </w:r>
      <w:r>
        <w:rPr>
          <w:i/>
          <w:iCs/>
          <w:sz w:val="19"/>
          <w:szCs w:val="19"/>
          <w:vertAlign w:val="superscript"/>
        </w:rPr>
        <w:t xml:space="preserve">zz</w:t>
      </w:r>
      <w:r>
        <w:rPr>
          <w:i/>
          <w:iCs/>
          <w:sz w:val="19"/>
          <w:szCs w:val="19"/>
        </w:rPr>
        <w:t xml:space="preserve"> scende da 0.780 (a </w:t>
      </w:r>
      <w:r>
        <w:rPr>
          <w:i/>
          <w:iCs/>
          <w:sz w:val="19"/>
          <w:szCs w:val="19"/>
        </w:rPr>
        <w:t xml:space="preserve">t</w:t>
      </w:r>
      <w:r>
        <w:rPr>
          <w:i/>
          <w:iCs/>
          <w:sz w:val="19"/>
          <w:szCs w:val="19"/>
        </w:rPr>
        <w:t xml:space="preserve">=1.3) a 0.112 (a </w:t>
      </w:r>
      <w:r>
        <w:rPr>
          <w:i/>
          <w:iCs/>
          <w:sz w:val="19"/>
          <w:szCs w:val="19"/>
        </w:rPr>
        <w:t xml:space="preserve">t</w:t>
      </w:r>
      <w:r>
        <w:rPr>
          <w:i/>
          <w:iCs/>
          <w:sz w:val="19"/>
          <w:szCs w:val="19"/>
        </w:rPr>
        <w:t xml:space="preserve">=2.7) — ma resta comunque ben lontano da zero in entrambi i casi: nessuna autocorrelazione qui si comporta come </w:t>
      </w:r>
      <w:r>
        <w:rPr>
          <w:i/>
          <w:iCs/>
          <w:sz w:val="19"/>
          <w:szCs w:val="19"/>
        </w:rPr>
        <w:t xml:space="preserve">C</w:t>
      </w:r>
      <w:r>
        <w:rPr>
          <w:i/>
          <w:iCs/>
          <w:sz w:val="19"/>
          <w:szCs w:val="19"/>
          <w:vertAlign w:val="subscript"/>
        </w:rPr>
        <w:t xml:space="preserve">33</w:t>
      </w:r>
      <w:r>
        <w:rPr>
          <w:i/>
          <w:iCs/>
          <w:sz w:val="19"/>
          <w:szCs w:val="19"/>
          <w:vertAlign w:val="superscript"/>
        </w:rPr>
        <w:t xml:space="preserve">zz</w:t>
      </w:r>
      <w:r>
        <w:rPr>
          <w:i/>
          <w:iCs/>
          <w:sz w:val="19"/>
          <w:szCs w:val="19"/>
        </w:rPr>
        <w:t xml:space="preserve"> dell'anello, che restava quasi congelato (0.9985–1.0000) su tutto l'intervallo.</w:t>
      </w:r>
    </w:p>
    <w:p>
      <w:pPr>
        <w:spacing w:after="200"/>
        <w:jc w:val="both"/>
      </w:pPr>
      <w:r>
        <w:t xml:space="preserve">Ho confrontato circuito e classico esatto su tutte le 81 combinazioni: l'errore di Trotter medio è 1.76×10⁻³, il massimo 3.34×10⁻³ (</w:t>
      </w:r>
      <w:r>
        <w:rPr>
          <w:i/>
          <w:iCs/>
        </w:rPr>
        <w:t xml:space="preserve">N</w:t>
      </w:r>
      <w:r>
        <w:t xml:space="preserve">=200) — un ordine di grandezza sopra quello dell'anello allo stesso </w:t>
      </w:r>
      <w:r>
        <w:rPr>
          <w:i/>
          <w:iCs/>
        </w:rPr>
        <w:t xml:space="preserve">N</w:t>
      </w:r>
      <w:r>
        <w:t xml:space="preserve">, coerente con la struttura a due livelli di Trotter della catena (i due legami condividono il sito 2, esattamente come nell'anello i tre legami si condividevano a coppie). A shot finiti (8192 shot, AerSimulator) l'errore statistico medio è 1.39×10⁻², il massimo 3.85×10⁻² — resta il contributo dominante, come nell'anello.</w:t>
      </w:r>
    </w:p>
    <w:p>
      <w:pPr>
        <w:spacing w:after="200"/>
        <w:jc w:val="both"/>
      </w:pPr>
      <w:r>
        <w:t xml:space="preserve">Anche qui ho chiuso la pipeline VQE→correlazioni, sostituendo la preparazione a ampiezze esatte con il circuito VQE reale (ansatz </w:t>
      </w:r>
      <w:r>
        <w:t xml:space="preserve">W-2qC.K2</w:t>
      </w:r>
      <w:r>
        <w:t xml:space="preserve">, 10 parametri su due cicli, </w:t>
      </w:r>
      <w:r>
        <w:rPr>
          <w:i/>
          <w:iCs/>
        </w:rPr>
        <w:t xml:space="preserve">F</w:t>
      </w:r>
      <w:r>
        <w:t xml:space="preserve">=1.000000000000 dopo l'ottimizzazione): il residuo che introduce è 1.9×10⁻⁸ in media, 5.9×10⁻⁸ al massimo su tutte le 81 — coerente con </w:t>
      </w:r>
      <w:r>
        <w:t xml:space="preserve">√(1−</w:t>
      </w:r>
      <w:r>
        <w:rPr>
          <w:i/>
          <w:iCs/>
        </w:rPr>
        <w:t xml:space="preserve">F</w:t>
      </w:r>
      <w:r>
        <w:t xml:space="preserve">), quindi non cambia nessuna conclusione scritta sopra.</w:t>
      </w:r>
    </w:p>
    <w:p>
      <w:pPr>
        <w:spacing w:after="200"/>
        <w:jc w:val="both"/>
      </w:pPr>
      <w:r>
        <w:t xml:space="preserve">Un'ultima cosa su cui vorrei un suo parere. Per questa fase ho lavorato su due punti: quello appena descritto (VQE-DM, </w:t>
      </w:r>
      <w:r>
        <w:rPr>
          <w:i/>
          <w:iCs/>
        </w:rPr>
        <w:t xml:space="preserve">b</w:t>
      </w:r>
      <w:r>
        <w:t xml:space="preserve">=</w:t>
      </w:r>
      <w:r>
        <w:rPr>
          <w:i/>
          <w:iCs/>
          <w:vertAlign w:val="subscript"/>
        </w:rPr>
        <w:t xml:space="preserve">c</w:t>
      </w:r>
      <w:r>
        <w:t xml:space="preserve">=3.0, </w:t>
      </w:r>
      <w:r>
        <w:rPr>
          <w:i/>
          <w:iCs/>
        </w:rPr>
        <w:t xml:space="preserve">D</w:t>
      </w:r>
      <w:r>
        <w:t xml:space="preserve">=0.15, dove è stato trovato l'ansatz </w:t>
      </w:r>
      <w:r>
        <w:t xml:space="preserve">W-2qC.K2</w:t>
      </w:r>
      <w:r>
        <w:t xml:space="preserve">) e un secondo punto (</w:t>
      </w:r>
      <w:r>
        <w:rPr>
          <w:i/>
          <w:iCs/>
        </w:rPr>
        <w:t xml:space="preserve">b</w:t>
      </w:r>
      <w:r>
        <w:t xml:space="preserve">=3.0073414, </w:t>
      </w:r>
      <w:r>
        <w:rPr>
          <w:i/>
          <w:iCs/>
        </w:rPr>
        <w:t xml:space="preserve">D</w:t>
      </w:r>
      <w:r>
        <w:t xml:space="preserve">=0.3) usato finora per la parte Trotter, dove il rapporto fra errore statistico e di Trotter è ancora più marcato (∼115× contro ∼10× del primo punto). Le conclusioni qualitative — nessuno zero strutturale, il sito 2 genericamente ricco — valgono in entrambi, li ho verificati su entrambi per questo. Preferisce che la tesi adotti definitivamente il primo punto, per coerenza con il VQE, o il secondo, già usato per Trotter, oppure devo tenerli distinti a seconda della sezione?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0aec25333e011781fd109a6c9ccb953b613b0f7.png"/><Relationship Id="rId8" Type="http://schemas.openxmlformats.org/officeDocument/2006/relationships/image" Target="media/61837f022096a1256500f62b2cb54cf40e4cd1b0.png"/><Relationship Id="rId9" Type="http://schemas.openxmlformats.org/officeDocument/2006/relationships/image" Target="media/6bf47003fe16e7f528418b41f014ea6e02a0cc29.png"/><Relationship Id="rId10" Type="http://schemas.openxmlformats.org/officeDocument/2006/relationships/image" Target="media/1c0503284e3d0dc6b30001af2cb02f29a58f09d9.png"/><Relationship Id="rId11" Type="http://schemas.openxmlformats.org/officeDocument/2006/relationships/image" Target="media/712f9deab43fba1f6ef2aeb8f399ee7fc3ae019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2026-08-27T16:51:24.214Z</dcterms:created>
  <dcterms:modified xsi:type="dcterms:W3CDTF">2026-08-27T16:51:24.214Z</dcterms:modified>
</cp:coreProperties>
</file>

<file path=docProps/custom.xml><?xml version="1.0" encoding="utf-8"?>
<Properties xmlns="http://schemas.openxmlformats.org/officeDocument/2006/custom-properties" xmlns:vt="http://schemas.openxmlformats.org/officeDocument/2006/docPropsVTypes"/>
</file>