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2B6A" w14:textId="77777777" w:rsidR="006C33C1" w:rsidRDefault="00000000">
      <w:pPr>
        <w:spacing w:after="200"/>
        <w:jc w:val="both"/>
      </w:pPr>
      <w:r>
        <w:rPr>
          <w:sz w:val="22"/>
          <w:szCs w:val="22"/>
        </w:rPr>
        <w:t xml:space="preserve">Anche per il trimero ad anello ho portato a termine il VQE, riprendendo l'ansatz già individuato in una fase precedente del lavoro. Si chiama “W-2q.6” ed è quello che, sotto il termine DM (la parte dell'Hamiltoniana che rompe la simmetria di scambio fra i siti e apre il gap fra fondamentale e primo eccitato in corrispondenza del campo critico), raggiunge fedeltà </w:t>
      </w:r>
      <w:r>
        <w:rPr>
          <w:i/>
          <w:iCs/>
          <w:sz w:val="22"/>
          <w:szCs w:val="22"/>
        </w:rPr>
        <w:t>F</w:t>
      </w:r>
      <w:r>
        <w:rPr>
          <w:sz w:val="22"/>
          <w:szCs w:val="22"/>
        </w:rPr>
        <w:t>=1 rispetto allo stato fondamentale esatto — l'altra famiglia disponibile, RBS-2q, si ferma più in basso, ne parlo meglio più avanti con i numeri del confronto. Il problema è che nella cache delle scansioni sull'ansatz erano salvate solo le metriche, non i parametri ottimali del circuito: ho dovuto quindi rifare l'ottimizzazione da zero. Qui sotto riporto il circuito, com'è fatto, e come l'ho ottimizzato.</w:t>
      </w:r>
    </w:p>
    <w:p w14:paraId="299C64A4" w14:textId="51369D17" w:rsidR="006C33C1" w:rsidRDefault="00000000">
      <w:pPr>
        <w:spacing w:after="200"/>
        <w:jc w:val="both"/>
      </w:pPr>
      <w:r>
        <w:rPr>
          <w:i/>
          <w:iCs/>
          <w:sz w:val="22"/>
          <w:szCs w:val="22"/>
        </w:rPr>
        <w:t>Nota — i due blocchi “M-conservanti”: RBS e W.</w:t>
      </w:r>
      <w:r>
        <w:rPr>
          <w:sz w:val="22"/>
          <w:szCs w:val="22"/>
        </w:rPr>
        <w:t xml:space="preserve"> Prima di entrare nel dettaglio del circuito, fisso la differenza fra i due blocchi a due qubit che ricorrono in tutta la tesi: RBS, usato per il dimero, e </w:t>
      </w:r>
      <w:r>
        <w:rPr>
          <w:i/>
          <w:iCs/>
          <w:sz w:val="22"/>
          <w:szCs w:val="22"/>
        </w:rPr>
        <w:t>W</w:t>
      </w:r>
      <w:r>
        <w:rPr>
          <w:sz w:val="22"/>
          <w:szCs w:val="22"/>
        </w:rPr>
        <w:t>, usato qui per il trimero ad anello. Un blocco a due qubit è “</w:t>
      </w:r>
      <w:r>
        <w:rPr>
          <w:i/>
          <w:iCs/>
          <w:sz w:val="22"/>
          <w:szCs w:val="22"/>
        </w:rPr>
        <w:t>M</w:t>
      </w:r>
      <w:r>
        <w:rPr>
          <w:sz w:val="22"/>
          <w:szCs w:val="22"/>
        </w:rPr>
        <w:t xml:space="preserve">-conservante” se conserva la magnetizzazione totale della coppia su cui agisce, cioè non sposta ampiezza fuori dal sottospazio {|01⟩,|10⟩} (lascia fissi |00⟩ e |11⟩): è il mattone naturale </w:t>
      </w:r>
      <w:r w:rsidR="00A54A16">
        <w:rPr>
          <w:sz w:val="22"/>
          <w:szCs w:val="22"/>
        </w:rPr>
        <w:t xml:space="preserve"> </w:t>
      </w:r>
      <w:r>
        <w:rPr>
          <w:sz w:val="22"/>
          <w:szCs w:val="22"/>
        </w:rPr>
        <w:t>per esplorare stati come singoletto e tripletto senza sprecare parametri su settori irrilevanti.</w:t>
      </w:r>
    </w:p>
    <w:p w14:paraId="6FCDA6F7" w14:textId="77777777" w:rsidR="006C33C1" w:rsidRDefault="00000000">
      <w:pPr>
        <w:spacing w:after="200"/>
        <w:jc w:val="both"/>
      </w:pPr>
      <w:r>
        <w:rPr>
          <w:sz w:val="22"/>
          <w:szCs w:val="22"/>
        </w:rPr>
        <w:t xml:space="preserve">Il blocco </w:t>
      </w:r>
      <w:r>
        <w:rPr>
          <w:i/>
          <w:iCs/>
          <w:sz w:val="22"/>
          <w:szCs w:val="22"/>
        </w:rPr>
        <w:t>RBS</w:t>
      </w:r>
      <w:r>
        <w:rPr>
          <w:sz w:val="22"/>
          <w:szCs w:val="22"/>
        </w:rPr>
        <w:t xml:space="preserve"> realizza, in quel sottospazio, la rotazione di Givens reale — un concetto standard di algebra lineare numerica, non specifico del calcolo quantistico, che ho trovato in Golub &amp; Van Loan, </w:t>
      </w:r>
      <w:r>
        <w:rPr>
          <w:i/>
          <w:iCs/>
          <w:sz w:val="22"/>
          <w:szCs w:val="22"/>
        </w:rPr>
        <w:t>Matrix Computations</w:t>
      </w:r>
      <w:r>
        <w:rPr>
          <w:sz w:val="22"/>
          <w:szCs w:val="22"/>
        </w:rPr>
        <w:t>, 4ª ed., Johns Hopkins University Press (2013), §5.1: lì la rotazione di Givens è introdotta come lo strumento per ruotare una coppia di coordinate di un vettore reale (usata tipicamente per annullarne una in modo esatto), lasciando le altre invariate.</w:t>
      </w:r>
    </w:p>
    <w:p w14:paraId="3F8B4532" w14:textId="77777777" w:rsidR="006C33C1" w:rsidRDefault="00000000">
      <w:pPr>
        <w:spacing w:after="60"/>
        <w:jc w:val="center"/>
      </w:pPr>
      <w:r>
        <w:rPr>
          <w:noProof/>
        </w:rPr>
        <w:drawing>
          <wp:inline distT="0" distB="0" distL="0" distR="0" wp14:anchorId="66EBBBC5" wp14:editId="7C8F743E">
            <wp:extent cx="2924175"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24175" cy="2924175"/>
                    </a:xfrm>
                    <a:prstGeom prst="rect">
                      <a:avLst/>
                    </a:prstGeom>
                  </pic:spPr>
                </pic:pic>
              </a:graphicData>
            </a:graphic>
          </wp:inline>
        </w:drawing>
      </w:r>
    </w:p>
    <w:p w14:paraId="5CEA658E" w14:textId="77777777" w:rsidR="006C33C1" w:rsidRDefault="00000000">
      <w:pPr>
        <w:spacing w:after="240"/>
        <w:jc w:val="center"/>
      </w:pPr>
      <w:r>
        <w:rPr>
          <w:i/>
          <w:iCs/>
          <w:sz w:val="19"/>
          <w:szCs w:val="19"/>
        </w:rPr>
        <w:t>La rotazione di Givens nel caso generico (Golub &amp; Van Loan, §5.1): un vettore reale v=(a,b) viene ruotato di un angolo θ fino ad allinearlo con l'asse x</w:t>
      </w:r>
      <w:r>
        <w:rPr>
          <w:i/>
          <w:iCs/>
          <w:sz w:val="19"/>
          <w:szCs w:val="19"/>
          <w:vertAlign w:val="subscript"/>
        </w:rPr>
        <w:t>1</w:t>
      </w:r>
      <w:r>
        <w:rPr>
          <w:i/>
          <w:iCs/>
          <w:sz w:val="19"/>
          <w:szCs w:val="19"/>
        </w:rPr>
        <w:t>, annullandone la seconda componente.</w:t>
      </w:r>
    </w:p>
    <w:p w14:paraId="2746E2FC" w14:textId="77777777" w:rsidR="006C33C1" w:rsidRDefault="00000000">
      <w:pPr>
        <w:spacing w:after="60"/>
        <w:jc w:val="center"/>
      </w:pPr>
      <w:r>
        <w:rPr>
          <w:noProof/>
        </w:rPr>
        <w:lastRenderedPageBreak/>
        <w:drawing>
          <wp:inline distT="0" distB="0" distL="0" distR="0" wp14:anchorId="266B5C25" wp14:editId="7FBAC763">
            <wp:extent cx="2924175" cy="2924175"/>
            <wp:effectExtent l="0" t="0" r="0" b="0"/>
            <wp:docPr id="498705438" name="Picture 49870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24175" cy="2924175"/>
                    </a:xfrm>
                    <a:prstGeom prst="rect">
                      <a:avLst/>
                    </a:prstGeom>
                  </pic:spPr>
                </pic:pic>
              </a:graphicData>
            </a:graphic>
          </wp:inline>
        </w:drawing>
      </w:r>
    </w:p>
    <w:p w14:paraId="657EB4B0" w14:textId="77777777" w:rsidR="006C33C1" w:rsidRDefault="00000000">
      <w:pPr>
        <w:spacing w:after="240"/>
        <w:jc w:val="center"/>
      </w:pPr>
      <w:r>
        <w:rPr>
          <w:i/>
          <w:iCs/>
          <w:sz w:val="19"/>
          <w:szCs w:val="19"/>
        </w:rPr>
        <w:t>La stessa identica costruzione, riletta nel sottospazio {|01⟩,|10⟩} su cui agisce il blocco RBS: qui l'“asse” è lo stato |01⟩, e la rotazione di un angolo φ porta a cosφ|01⟩+sinφ|10⟩ — le due componenti reali del vettore di prima sono ora le due ampiezze reali dello stato a due qubit.</w:t>
      </w:r>
    </w:p>
    <w:p w14:paraId="48E6A74B" w14:textId="77777777" w:rsidR="006C33C1" w:rsidRDefault="00000000">
      <w:pPr>
        <w:spacing w:after="200"/>
        <w:jc w:val="both"/>
      </w:pPr>
      <w:r>
        <w:rPr>
          <w:sz w:val="22"/>
          <w:szCs w:val="22"/>
        </w:rPr>
        <w:t>È esattamente l'operazione che serve qui: per il teorema spettrale, l'Hamiltoniana reale simmetrica del sistema ha uno stato fondamentale che può sempre essere scelto reale, quindi la coppia di ampiezze su {|01⟩,|10⟩} va parametrizzata con una rotazione reale a due componenti — non con un generico gate unitario complesso, che sprecherebbe un grado di libertà di fase mai usato. Applicata a |01⟩ dà cos</w:t>
      </w:r>
      <w:r>
        <w:rPr>
          <w:i/>
          <w:iCs/>
          <w:sz w:val="22"/>
          <w:szCs w:val="22"/>
        </w:rPr>
        <w:t>φ</w:t>
      </w:r>
      <w:r>
        <w:rPr>
          <w:sz w:val="22"/>
          <w:szCs w:val="22"/>
        </w:rPr>
        <w:t>|01⟩+sin</w:t>
      </w:r>
      <w:r>
        <w:rPr>
          <w:i/>
          <w:iCs/>
          <w:sz w:val="22"/>
          <w:szCs w:val="22"/>
        </w:rPr>
        <w:t>φ</w:t>
      </w:r>
      <w:r>
        <w:rPr>
          <w:sz w:val="22"/>
          <w:szCs w:val="22"/>
        </w:rPr>
        <w:t xml:space="preserve">|10⟩, con coefficienti sempre reali per ogni </w:t>
      </w:r>
      <w:r>
        <w:rPr>
          <w:i/>
          <w:iCs/>
          <w:sz w:val="22"/>
          <w:szCs w:val="22"/>
        </w:rPr>
        <w:t>φ</w:t>
      </w:r>
      <w:r>
        <w:rPr>
          <w:sz w:val="22"/>
          <w:szCs w:val="22"/>
        </w:rPr>
        <w:t>. Lo implemento, come già per il dimero, senza un gate di Givens dedicato ma componendo Hadamard, CZ e Ry — qui nella forma non compatta, gate per gate:</w:t>
      </w:r>
    </w:p>
    <w:p w14:paraId="53ACBC8A" w14:textId="77777777" w:rsidR="006C33C1" w:rsidRDefault="00000000">
      <w:pPr>
        <w:spacing w:after="60"/>
        <w:jc w:val="center"/>
      </w:pPr>
      <w:r>
        <w:rPr>
          <w:noProof/>
        </w:rPr>
        <w:drawing>
          <wp:inline distT="0" distB="0" distL="0" distR="0" wp14:anchorId="3B8019E6" wp14:editId="3C6E6CFD">
            <wp:extent cx="3295650" cy="1419225"/>
            <wp:effectExtent l="0" t="0" r="0" b="0"/>
            <wp:docPr id="789357127" name="Picture 78935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1419225"/>
                    </a:xfrm>
                    <a:prstGeom prst="rect">
                      <a:avLst/>
                    </a:prstGeom>
                  </pic:spPr>
                </pic:pic>
              </a:graphicData>
            </a:graphic>
          </wp:inline>
        </w:drawing>
      </w:r>
    </w:p>
    <w:p w14:paraId="24C9E13C" w14:textId="77777777" w:rsidR="006C33C1" w:rsidRDefault="00000000">
      <w:pPr>
        <w:spacing w:after="240"/>
        <w:jc w:val="center"/>
      </w:pPr>
      <w:r>
        <w:rPr>
          <w:i/>
          <w:iCs/>
          <w:sz w:val="19"/>
          <w:szCs w:val="19"/>
        </w:rPr>
        <w:t>Il blocco “RBS”: due Hadamard per lato che racchiudono una coppia Controlled-Z e due Ry(±φ). Realizza esattamente la rotazione di Givens reale nel sottospazio {|01⟩,|10⟩} (self-test a precisione macchina già fatto per il dimero).</w:t>
      </w:r>
    </w:p>
    <w:p w14:paraId="6FD2923C" w14:textId="77777777" w:rsidR="006C33C1" w:rsidRDefault="00000000">
      <w:pPr>
        <w:spacing w:after="200"/>
        <w:jc w:val="both"/>
      </w:pPr>
      <w:r>
        <w:rPr>
          <w:sz w:val="22"/>
          <w:szCs w:val="22"/>
        </w:rPr>
        <w:t xml:space="preserve">Il blocco </w:t>
      </w:r>
      <w:r>
        <w:rPr>
          <w:i/>
          <w:iCs/>
          <w:sz w:val="22"/>
          <w:szCs w:val="22"/>
        </w:rPr>
        <w:t>W</w:t>
      </w:r>
      <w:r>
        <w:rPr>
          <w:sz w:val="22"/>
          <w:szCs w:val="22"/>
        </w:rPr>
        <w:t xml:space="preserve"> di Crippa et al., usato qui per il trimero, è invece </w:t>
      </w:r>
      <w:r>
        <w:rPr>
          <w:i/>
          <w:iCs/>
          <w:sz w:val="22"/>
          <w:szCs w:val="22"/>
        </w:rPr>
        <w:t>W</w:t>
      </w:r>
      <w:r>
        <w:rPr>
          <w:sz w:val="22"/>
          <w:szCs w:val="22"/>
          <w:vertAlign w:val="subscript"/>
        </w:rPr>
        <w:t>ij</w:t>
      </w:r>
      <w:r>
        <w:rPr>
          <w:sz w:val="22"/>
          <w:szCs w:val="22"/>
        </w:rPr>
        <w:t xml:space="preserve">(θ)=exp(-iθ </w:t>
      </w:r>
      <w:r>
        <w:rPr>
          <w:i/>
          <w:iCs/>
          <w:sz w:val="22"/>
          <w:szCs w:val="22"/>
        </w:rPr>
        <w:t>s</w:t>
      </w:r>
      <w:r>
        <w:rPr>
          <w:sz w:val="22"/>
          <w:szCs w:val="22"/>
          <w:vertAlign w:val="subscript"/>
        </w:rPr>
        <w:t>i</w:t>
      </w:r>
      <w:r>
        <w:rPr>
          <w:sz w:val="22"/>
          <w:szCs w:val="22"/>
        </w:rPr>
        <w:t>·</w:t>
      </w:r>
      <w:r>
        <w:rPr>
          <w:i/>
          <w:iCs/>
          <w:sz w:val="22"/>
          <w:szCs w:val="22"/>
        </w:rPr>
        <w:t>s</w:t>
      </w:r>
      <w:r>
        <w:rPr>
          <w:sz w:val="22"/>
          <w:szCs w:val="22"/>
          <w:vertAlign w:val="subscript"/>
        </w:rPr>
        <w:t>j</w:t>
      </w:r>
      <w:r>
        <w:rPr>
          <w:sz w:val="22"/>
          <w:szCs w:val="22"/>
        </w:rPr>
        <w:t xml:space="preserve">) (con </w:t>
      </w:r>
      <w:r>
        <w:rPr>
          <w:i/>
          <w:iCs/>
          <w:sz w:val="22"/>
          <w:szCs w:val="22"/>
        </w:rPr>
        <w:t>s</w:t>
      </w:r>
      <w:r>
        <w:rPr>
          <w:sz w:val="22"/>
          <w:szCs w:val="22"/>
        </w:rPr>
        <w:t>=</w:t>
      </w:r>
      <w:r>
        <w:rPr>
          <w:i/>
          <w:iCs/>
          <w:sz w:val="22"/>
          <w:szCs w:val="22"/>
        </w:rPr>
        <w:t>σ</w:t>
      </w:r>
      <w:r>
        <w:rPr>
          <w:sz w:val="22"/>
          <w:szCs w:val="22"/>
        </w:rPr>
        <w:t>/2, lo spin in unità di ħ): è diagonale nella base singoletto/tripletto, con una fase relativa fra i due settori. Applicato a |01⟩ dà le stesse probabilità di popolazione di RBS (a meno di riparametrizzare θ=2φ), ma con una fase relativa immaginaria anziché reale — è nella stessa famiglia del gate iSWAP, non in quella della rotazione reale di Givens. Nel circuito lo implemento con due CNOT attorno a una Ry(θ), anche qui in forma non compatta:</w:t>
      </w:r>
    </w:p>
    <w:p w14:paraId="7C410706" w14:textId="77777777" w:rsidR="006C33C1" w:rsidRDefault="00000000">
      <w:pPr>
        <w:spacing w:after="60"/>
        <w:jc w:val="center"/>
      </w:pPr>
      <w:r>
        <w:rPr>
          <w:noProof/>
        </w:rPr>
        <w:lastRenderedPageBreak/>
        <w:drawing>
          <wp:inline distT="0" distB="0" distL="0" distR="0" wp14:anchorId="7357F6FB" wp14:editId="10AAE98E">
            <wp:extent cx="3105150" cy="1552575"/>
            <wp:effectExtent l="0" t="0" r="0" b="0"/>
            <wp:docPr id="724395366" name="Picture 72439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1552575"/>
                    </a:xfrm>
                    <a:prstGeom prst="rect">
                      <a:avLst/>
                    </a:prstGeom>
                  </pic:spPr>
                </pic:pic>
              </a:graphicData>
            </a:graphic>
          </wp:inline>
        </w:drawing>
      </w:r>
    </w:p>
    <w:p w14:paraId="65B75B80" w14:textId="77777777" w:rsidR="006C33C1" w:rsidRDefault="00000000">
      <w:pPr>
        <w:spacing w:after="240"/>
        <w:jc w:val="center"/>
      </w:pPr>
      <w:r>
        <w:rPr>
          <w:i/>
          <w:iCs/>
          <w:sz w:val="19"/>
          <w:szCs w:val="19"/>
        </w:rPr>
        <w:t>Il blocco “W”: due CNOT che racchiudono una rotazione Ry(θ) sul secondo qubit. È lo stesso blocco applicato tre volte nell'ansatz completo — una per legame del triangolo, ogni volta con il proprio parametro θ e sulla propria coppia di qubit.</w:t>
      </w:r>
    </w:p>
    <w:p w14:paraId="463E341D" w14:textId="77777777" w:rsidR="006C33C1" w:rsidRDefault="00000000">
      <w:pPr>
        <w:spacing w:after="200"/>
        <w:jc w:val="both"/>
      </w:pPr>
      <w:r>
        <w:rPr>
          <w:sz w:val="22"/>
          <w:szCs w:val="22"/>
        </w:rPr>
        <w:t xml:space="preserve">Per il dimero avevo scelto RBS: l'Hamiltoniana del dimero è reale simmetrica anche con il termine DM nella forma usata lì, quindi per il teorema spettrale lo stato fondamentale può sempre essere scelto reale — la fase immaginaria che </w:t>
      </w:r>
      <w:r>
        <w:rPr>
          <w:i/>
          <w:iCs/>
          <w:sz w:val="22"/>
          <w:szCs w:val="22"/>
        </w:rPr>
        <w:t>W</w:t>
      </w:r>
      <w:r>
        <w:rPr>
          <w:sz w:val="22"/>
          <w:szCs w:val="22"/>
        </w:rPr>
        <w:t xml:space="preserve"> aggiunge è lì superflua, e RBS costa anche meno in porte a due qubit (2 CZ contro 3 CNOT-equivalenti per blocco). Per il trimero ad anello lo stesso argomento di realtà si applica ancora, in linea di principio, anche con il DM in Opzione B — una delle due disposizioni di segno considerate per il termine DM sul triangolo, riassunte qui: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50"/>
        <w:gridCol w:w="3650"/>
      </w:tblGrid>
      <w:tr w:rsidR="006C33C1" w14:paraId="240C6B6C" w14:textId="77777777">
        <w:tblPrEx>
          <w:tblCellMar>
            <w:top w:w="0" w:type="dxa"/>
            <w:bottom w:w="0" w:type="dxa"/>
          </w:tblCellMar>
        </w:tblPrEx>
        <w:tc>
          <w:tcPr>
            <w:tcW w:w="2200" w:type="dxa"/>
            <w:shd w:val="clear" w:color="auto" w:fill="E8E8E8"/>
          </w:tcPr>
          <w:p w14:paraId="5B62049D" w14:textId="77777777" w:rsidR="006C33C1" w:rsidRDefault="006C33C1">
            <w:pPr>
              <w:jc w:val="center"/>
            </w:pPr>
          </w:p>
        </w:tc>
        <w:tc>
          <w:tcPr>
            <w:tcW w:w="3650" w:type="dxa"/>
            <w:shd w:val="clear" w:color="auto" w:fill="E8E8E8"/>
          </w:tcPr>
          <w:p w14:paraId="5A57F132" w14:textId="77777777" w:rsidR="006C33C1" w:rsidRDefault="00000000">
            <w:pPr>
              <w:jc w:val="center"/>
            </w:pPr>
            <w:r>
              <w:rPr>
                <w:b/>
                <w:bCs/>
                <w:sz w:val="19"/>
                <w:szCs w:val="19"/>
              </w:rPr>
              <w:t>Opzione A (simmetrica)</w:t>
            </w:r>
          </w:p>
        </w:tc>
        <w:tc>
          <w:tcPr>
            <w:tcW w:w="3650" w:type="dxa"/>
            <w:shd w:val="clear" w:color="auto" w:fill="E8E8E8"/>
          </w:tcPr>
          <w:p w14:paraId="7ACCF629" w14:textId="77777777" w:rsidR="006C33C1" w:rsidRDefault="00000000">
            <w:pPr>
              <w:jc w:val="center"/>
            </w:pPr>
            <w:r>
              <w:rPr>
                <w:b/>
                <w:bCs/>
                <w:sz w:val="19"/>
                <w:szCs w:val="19"/>
              </w:rPr>
              <w:t>Opzione B (usata qui)</w:t>
            </w:r>
          </w:p>
        </w:tc>
      </w:tr>
      <w:tr w:rsidR="006C33C1" w14:paraId="33ACDCB6" w14:textId="77777777">
        <w:tblPrEx>
          <w:tblCellMar>
            <w:top w:w="0" w:type="dxa"/>
            <w:bottom w:w="0" w:type="dxa"/>
          </w:tblCellMar>
        </w:tblPrEx>
        <w:tc>
          <w:tcPr>
            <w:tcW w:w="2200" w:type="dxa"/>
          </w:tcPr>
          <w:p w14:paraId="0B81D0B3" w14:textId="77777777" w:rsidR="006C33C1" w:rsidRDefault="00000000">
            <w:pPr>
              <w:jc w:val="center"/>
            </w:pPr>
            <w:r>
              <w:rPr>
                <w:sz w:val="19"/>
                <w:szCs w:val="19"/>
              </w:rPr>
              <w:t>forma</w:t>
            </w:r>
          </w:p>
        </w:tc>
        <w:tc>
          <w:tcPr>
            <w:tcW w:w="3650" w:type="dxa"/>
          </w:tcPr>
          <w:p w14:paraId="0E301AED" w14:textId="77777777" w:rsidR="006C33C1" w:rsidRDefault="00000000">
            <w:pPr>
              <w:jc w:val="center"/>
            </w:pPr>
            <w:r>
              <w:rPr>
                <w:i/>
                <w:iCs/>
                <w:sz w:val="19"/>
                <w:szCs w:val="19"/>
              </w:rPr>
              <w:t>D</w:t>
            </w:r>
            <w:r>
              <w:rPr>
                <w:sz w:val="19"/>
                <w:szCs w:val="19"/>
              </w:rPr>
              <w:t>'[(</w:t>
            </w:r>
            <w:r>
              <w:rPr>
                <w:i/>
                <w:iCs/>
                <w:sz w:val="19"/>
                <w:szCs w:val="19"/>
              </w:rPr>
              <w:t>X</w:t>
            </w:r>
            <w:r>
              <w:rPr>
                <w:sz w:val="19"/>
                <w:szCs w:val="19"/>
                <w:vertAlign w:val="subscript"/>
              </w:rPr>
              <w:t>2</w:t>
            </w:r>
            <w:r>
              <w:rPr>
                <w:i/>
                <w:iCs/>
                <w:sz w:val="19"/>
                <w:szCs w:val="19"/>
              </w:rPr>
              <w:t>Z</w:t>
            </w:r>
            <w:r>
              <w:rPr>
                <w:sz w:val="19"/>
                <w:szCs w:val="19"/>
                <w:vertAlign w:val="subscript"/>
              </w:rPr>
              <w:t>3</w:t>
            </w:r>
            <w:r>
              <w:rPr>
                <w:sz w:val="19"/>
                <w:szCs w:val="19"/>
              </w:rPr>
              <w:t>-</w:t>
            </w:r>
            <w:r>
              <w:rPr>
                <w:i/>
                <w:iCs/>
                <w:sz w:val="19"/>
                <w:szCs w:val="19"/>
              </w:rPr>
              <w:t>Z</w:t>
            </w:r>
            <w:r>
              <w:rPr>
                <w:sz w:val="19"/>
                <w:szCs w:val="19"/>
                <w:vertAlign w:val="subscript"/>
              </w:rPr>
              <w:t>2</w:t>
            </w:r>
            <w:r>
              <w:rPr>
                <w:i/>
                <w:iCs/>
                <w:sz w:val="19"/>
                <w:szCs w:val="19"/>
              </w:rPr>
              <w:t>X</w:t>
            </w:r>
            <w:r>
              <w:rPr>
                <w:sz w:val="19"/>
                <w:szCs w:val="19"/>
                <w:vertAlign w:val="subscript"/>
              </w:rPr>
              <w:t>3</w:t>
            </w:r>
            <w:r>
              <w:rPr>
                <w:sz w:val="19"/>
                <w:szCs w:val="19"/>
              </w:rPr>
              <w:t>)-(</w:t>
            </w:r>
            <w:r>
              <w:rPr>
                <w:i/>
                <w:iCs/>
                <w:sz w:val="19"/>
                <w:szCs w:val="19"/>
              </w:rPr>
              <w:t>X</w:t>
            </w:r>
            <w:r>
              <w:rPr>
                <w:sz w:val="19"/>
                <w:szCs w:val="19"/>
                <w:vertAlign w:val="subscript"/>
              </w:rPr>
              <w:t>3</w:t>
            </w:r>
            <w:r>
              <w:rPr>
                <w:i/>
                <w:iCs/>
                <w:sz w:val="19"/>
                <w:szCs w:val="19"/>
              </w:rPr>
              <w:t>Z</w:t>
            </w:r>
            <w:r>
              <w:rPr>
                <w:sz w:val="19"/>
                <w:szCs w:val="19"/>
                <w:vertAlign w:val="subscript"/>
              </w:rPr>
              <w:t>1</w:t>
            </w:r>
            <w:r>
              <w:rPr>
                <w:sz w:val="19"/>
                <w:szCs w:val="19"/>
              </w:rPr>
              <w:t>-</w:t>
            </w:r>
            <w:r>
              <w:rPr>
                <w:i/>
                <w:iCs/>
                <w:sz w:val="19"/>
                <w:szCs w:val="19"/>
              </w:rPr>
              <w:t>Z</w:t>
            </w:r>
            <w:r>
              <w:rPr>
                <w:sz w:val="19"/>
                <w:szCs w:val="19"/>
                <w:vertAlign w:val="subscript"/>
              </w:rPr>
              <w:t>3</w:t>
            </w:r>
            <w:r>
              <w:rPr>
                <w:i/>
                <w:iCs/>
                <w:sz w:val="19"/>
                <w:szCs w:val="19"/>
              </w:rPr>
              <w:t>X</w:t>
            </w:r>
            <w:r>
              <w:rPr>
                <w:sz w:val="19"/>
                <w:szCs w:val="19"/>
                <w:vertAlign w:val="subscript"/>
              </w:rPr>
              <w:t>1</w:t>
            </w:r>
            <w:r>
              <w:rPr>
                <w:sz w:val="19"/>
                <w:szCs w:val="19"/>
              </w:rPr>
              <w:t>)]</w:t>
            </w:r>
          </w:p>
        </w:tc>
        <w:tc>
          <w:tcPr>
            <w:tcW w:w="3650" w:type="dxa"/>
          </w:tcPr>
          <w:p w14:paraId="6685BCE7" w14:textId="77777777" w:rsidR="006C33C1" w:rsidRDefault="00000000">
            <w:pPr>
              <w:jc w:val="center"/>
            </w:pPr>
            <w:r>
              <w:rPr>
                <w:i/>
                <w:iCs/>
                <w:sz w:val="19"/>
                <w:szCs w:val="19"/>
              </w:rPr>
              <w:t>r</w:t>
            </w:r>
            <w:r>
              <w:rPr>
                <w:sz w:val="19"/>
                <w:szCs w:val="19"/>
              </w:rPr>
              <w:t>[</w:t>
            </w:r>
            <w:r>
              <w:rPr>
                <w:i/>
                <w:iCs/>
                <w:sz w:val="19"/>
                <w:szCs w:val="19"/>
              </w:rPr>
              <w:t>J</w:t>
            </w:r>
            <w:r>
              <w:rPr>
                <w:sz w:val="19"/>
                <w:szCs w:val="19"/>
              </w:rPr>
              <w:t>(</w:t>
            </w:r>
            <w:r>
              <w:rPr>
                <w:i/>
                <w:iCs/>
                <w:sz w:val="19"/>
                <w:szCs w:val="19"/>
              </w:rPr>
              <w:t>X</w:t>
            </w:r>
            <w:r>
              <w:rPr>
                <w:sz w:val="19"/>
                <w:szCs w:val="19"/>
                <w:vertAlign w:val="subscript"/>
              </w:rPr>
              <w:t>1</w:t>
            </w:r>
            <w:r>
              <w:rPr>
                <w:i/>
                <w:iCs/>
                <w:sz w:val="19"/>
                <w:szCs w:val="19"/>
              </w:rPr>
              <w:t>Z</w:t>
            </w:r>
            <w:r>
              <w:rPr>
                <w:sz w:val="19"/>
                <w:szCs w:val="19"/>
                <w:vertAlign w:val="subscript"/>
              </w:rPr>
              <w:t>2</w:t>
            </w:r>
            <w:r>
              <w:rPr>
                <w:sz w:val="19"/>
                <w:szCs w:val="19"/>
              </w:rPr>
              <w:t>-</w:t>
            </w:r>
            <w:r>
              <w:rPr>
                <w:i/>
                <w:iCs/>
                <w:sz w:val="19"/>
                <w:szCs w:val="19"/>
              </w:rPr>
              <w:t>Z</w:t>
            </w:r>
            <w:r>
              <w:rPr>
                <w:sz w:val="19"/>
                <w:szCs w:val="19"/>
                <w:vertAlign w:val="subscript"/>
              </w:rPr>
              <w:t>1</w:t>
            </w:r>
            <w:r>
              <w:rPr>
                <w:i/>
                <w:iCs/>
                <w:sz w:val="19"/>
                <w:szCs w:val="19"/>
              </w:rPr>
              <w:t>X</w:t>
            </w:r>
            <w:r>
              <w:rPr>
                <w:sz w:val="19"/>
                <w:szCs w:val="19"/>
                <w:vertAlign w:val="subscript"/>
              </w:rPr>
              <w:t>2</w:t>
            </w:r>
            <w:r>
              <w:rPr>
                <w:sz w:val="19"/>
                <w:szCs w:val="19"/>
              </w:rPr>
              <w:t>)+</w:t>
            </w:r>
            <w:r>
              <w:rPr>
                <w:i/>
                <w:iCs/>
                <w:sz w:val="19"/>
                <w:szCs w:val="19"/>
              </w:rPr>
              <w:t>J</w:t>
            </w:r>
            <w:r>
              <w:rPr>
                <w:sz w:val="19"/>
                <w:szCs w:val="19"/>
              </w:rPr>
              <w:t>'(</w:t>
            </w:r>
            <w:r>
              <w:rPr>
                <w:i/>
                <w:iCs/>
                <w:sz w:val="19"/>
                <w:szCs w:val="19"/>
              </w:rPr>
              <w:t>X</w:t>
            </w:r>
            <w:r>
              <w:rPr>
                <w:sz w:val="19"/>
                <w:szCs w:val="19"/>
                <w:vertAlign w:val="subscript"/>
              </w:rPr>
              <w:t>2</w:t>
            </w:r>
            <w:r>
              <w:rPr>
                <w:i/>
                <w:iCs/>
                <w:sz w:val="19"/>
                <w:szCs w:val="19"/>
              </w:rPr>
              <w:t>Z</w:t>
            </w:r>
            <w:r>
              <w:rPr>
                <w:sz w:val="19"/>
                <w:szCs w:val="19"/>
                <w:vertAlign w:val="subscript"/>
              </w:rPr>
              <w:t>3</w:t>
            </w:r>
            <w:r>
              <w:rPr>
                <w:sz w:val="19"/>
                <w:szCs w:val="19"/>
              </w:rPr>
              <w:t>-</w:t>
            </w:r>
            <w:r>
              <w:rPr>
                <w:i/>
                <w:iCs/>
                <w:sz w:val="19"/>
                <w:szCs w:val="19"/>
              </w:rPr>
              <w:t>Z</w:t>
            </w:r>
            <w:r>
              <w:rPr>
                <w:sz w:val="19"/>
                <w:szCs w:val="19"/>
                <w:vertAlign w:val="subscript"/>
              </w:rPr>
              <w:t>2</w:t>
            </w:r>
            <w:r>
              <w:rPr>
                <w:i/>
                <w:iCs/>
                <w:sz w:val="19"/>
                <w:szCs w:val="19"/>
              </w:rPr>
              <w:t>X</w:t>
            </w:r>
            <w:r>
              <w:rPr>
                <w:sz w:val="19"/>
                <w:szCs w:val="19"/>
                <w:vertAlign w:val="subscript"/>
              </w:rPr>
              <w:t>3</w:t>
            </w:r>
            <w:r>
              <w:rPr>
                <w:sz w:val="19"/>
                <w:szCs w:val="19"/>
              </w:rPr>
              <w:t>)+</w:t>
            </w:r>
            <w:r>
              <w:rPr>
                <w:i/>
                <w:iCs/>
                <w:sz w:val="19"/>
                <w:szCs w:val="19"/>
              </w:rPr>
              <w:t>J</w:t>
            </w:r>
            <w:r>
              <w:rPr>
                <w:sz w:val="19"/>
                <w:szCs w:val="19"/>
              </w:rPr>
              <w:t>'(</w:t>
            </w:r>
            <w:r>
              <w:rPr>
                <w:i/>
                <w:iCs/>
                <w:sz w:val="19"/>
                <w:szCs w:val="19"/>
              </w:rPr>
              <w:t>X</w:t>
            </w:r>
            <w:r>
              <w:rPr>
                <w:sz w:val="19"/>
                <w:szCs w:val="19"/>
                <w:vertAlign w:val="subscript"/>
              </w:rPr>
              <w:t>3</w:t>
            </w:r>
            <w:r>
              <w:rPr>
                <w:i/>
                <w:iCs/>
                <w:sz w:val="19"/>
                <w:szCs w:val="19"/>
              </w:rPr>
              <w:t>Z</w:t>
            </w:r>
            <w:r>
              <w:rPr>
                <w:sz w:val="19"/>
                <w:szCs w:val="19"/>
                <w:vertAlign w:val="subscript"/>
              </w:rPr>
              <w:t>1</w:t>
            </w:r>
            <w:r>
              <w:rPr>
                <w:sz w:val="19"/>
                <w:szCs w:val="19"/>
              </w:rPr>
              <w:t>-</w:t>
            </w:r>
            <w:r>
              <w:rPr>
                <w:i/>
                <w:iCs/>
                <w:sz w:val="19"/>
                <w:szCs w:val="19"/>
              </w:rPr>
              <w:t>Z</w:t>
            </w:r>
            <w:r>
              <w:rPr>
                <w:sz w:val="19"/>
                <w:szCs w:val="19"/>
                <w:vertAlign w:val="subscript"/>
              </w:rPr>
              <w:t>3</w:t>
            </w:r>
            <w:r>
              <w:rPr>
                <w:i/>
                <w:iCs/>
                <w:sz w:val="19"/>
                <w:szCs w:val="19"/>
              </w:rPr>
              <w:t>X</w:t>
            </w:r>
            <w:r>
              <w:rPr>
                <w:sz w:val="19"/>
                <w:szCs w:val="19"/>
                <w:vertAlign w:val="subscript"/>
              </w:rPr>
              <w:t>1</w:t>
            </w:r>
            <w:r>
              <w:rPr>
                <w:sz w:val="19"/>
                <w:szCs w:val="19"/>
              </w:rPr>
              <w:t>)]</w:t>
            </w:r>
          </w:p>
        </w:tc>
      </w:tr>
      <w:tr w:rsidR="006C33C1" w14:paraId="7B9B53F4" w14:textId="77777777">
        <w:tblPrEx>
          <w:tblCellMar>
            <w:top w:w="0" w:type="dxa"/>
            <w:bottom w:w="0" w:type="dxa"/>
          </w:tblCellMar>
        </w:tblPrEx>
        <w:tc>
          <w:tcPr>
            <w:tcW w:w="2200" w:type="dxa"/>
          </w:tcPr>
          <w:p w14:paraId="099BF016" w14:textId="77777777" w:rsidR="006C33C1" w:rsidRDefault="00000000">
            <w:pPr>
              <w:jc w:val="center"/>
            </w:pPr>
            <w:r>
              <w:rPr>
                <w:sz w:val="19"/>
                <w:szCs w:val="19"/>
              </w:rPr>
              <w:t>simmetria di scambio 1↔2</w:t>
            </w:r>
          </w:p>
        </w:tc>
        <w:tc>
          <w:tcPr>
            <w:tcW w:w="3650" w:type="dxa"/>
          </w:tcPr>
          <w:p w14:paraId="3E5637C9" w14:textId="77777777" w:rsidR="006C33C1" w:rsidRDefault="00000000">
            <w:pPr>
              <w:jc w:val="center"/>
            </w:pPr>
            <w:r>
              <w:rPr>
                <w:sz w:val="19"/>
                <w:szCs w:val="19"/>
              </w:rPr>
              <w:t>rispettata esattamente</w:t>
            </w:r>
          </w:p>
        </w:tc>
        <w:tc>
          <w:tcPr>
            <w:tcW w:w="3650" w:type="dxa"/>
          </w:tcPr>
          <w:p w14:paraId="0CA6F1EA" w14:textId="77777777" w:rsidR="006C33C1" w:rsidRDefault="00000000">
            <w:pPr>
              <w:jc w:val="center"/>
            </w:pPr>
            <w:r>
              <w:rPr>
                <w:sz w:val="19"/>
                <w:szCs w:val="19"/>
              </w:rPr>
              <w:t>rotta</w:t>
            </w:r>
          </w:p>
        </w:tc>
      </w:tr>
      <w:tr w:rsidR="006C33C1" w14:paraId="5E6CE626" w14:textId="77777777">
        <w:tblPrEx>
          <w:tblCellMar>
            <w:top w:w="0" w:type="dxa"/>
            <w:bottom w:w="0" w:type="dxa"/>
          </w:tblCellMar>
        </w:tblPrEx>
        <w:tc>
          <w:tcPr>
            <w:tcW w:w="2200" w:type="dxa"/>
          </w:tcPr>
          <w:p w14:paraId="10F0AF74" w14:textId="77777777" w:rsidR="006C33C1" w:rsidRDefault="00000000">
            <w:pPr>
              <w:jc w:val="center"/>
            </w:pPr>
            <w:r>
              <w:rPr>
                <w:sz w:val="19"/>
                <w:szCs w:val="19"/>
              </w:rPr>
              <w:t>[</w:t>
            </w:r>
            <w:r>
              <w:rPr>
                <w:i/>
                <w:iCs/>
                <w:sz w:val="19"/>
                <w:szCs w:val="19"/>
              </w:rPr>
              <w:t>H</w:t>
            </w:r>
            <w:r>
              <w:rPr>
                <w:sz w:val="19"/>
                <w:szCs w:val="19"/>
              </w:rPr>
              <w:t>,</w:t>
            </w:r>
            <w:r>
              <w:rPr>
                <w:i/>
                <w:iCs/>
                <w:sz w:val="19"/>
                <w:szCs w:val="19"/>
              </w:rPr>
              <w:t>S</w:t>
            </w:r>
            <w:r>
              <w:rPr>
                <w:sz w:val="19"/>
                <w:szCs w:val="19"/>
                <w:vertAlign w:val="subscript"/>
              </w:rPr>
              <w:t>12</w:t>
            </w:r>
            <w:r>
              <w:rPr>
                <w:sz w:val="19"/>
                <w:szCs w:val="19"/>
              </w:rPr>
              <w:t>²]</w:t>
            </w:r>
          </w:p>
        </w:tc>
        <w:tc>
          <w:tcPr>
            <w:tcW w:w="3650" w:type="dxa"/>
          </w:tcPr>
          <w:p w14:paraId="7C87B9B2" w14:textId="77777777" w:rsidR="006C33C1" w:rsidRDefault="00000000">
            <w:pPr>
              <w:jc w:val="center"/>
            </w:pPr>
            <w:r>
              <w:rPr>
                <w:sz w:val="19"/>
                <w:szCs w:val="19"/>
              </w:rPr>
              <w:t>=0 (esatto)</w:t>
            </w:r>
          </w:p>
        </w:tc>
        <w:tc>
          <w:tcPr>
            <w:tcW w:w="3650" w:type="dxa"/>
          </w:tcPr>
          <w:p w14:paraId="7DEBE995" w14:textId="77777777" w:rsidR="006C33C1" w:rsidRDefault="00000000">
            <w:pPr>
              <w:jc w:val="center"/>
            </w:pPr>
            <w:r>
              <w:rPr>
                <w:sz w:val="19"/>
                <w:szCs w:val="19"/>
              </w:rPr>
              <w:t>≠0</w:t>
            </w:r>
          </w:p>
        </w:tc>
      </w:tr>
      <w:tr w:rsidR="006C33C1" w14:paraId="3F3201D5" w14:textId="77777777">
        <w:tblPrEx>
          <w:tblCellMar>
            <w:top w:w="0" w:type="dxa"/>
            <w:bottom w:w="0" w:type="dxa"/>
          </w:tblCellMar>
        </w:tblPrEx>
        <w:tc>
          <w:tcPr>
            <w:tcW w:w="2200" w:type="dxa"/>
          </w:tcPr>
          <w:p w14:paraId="12C624BC" w14:textId="77777777" w:rsidR="006C33C1" w:rsidRDefault="00000000">
            <w:pPr>
              <w:jc w:val="center"/>
            </w:pPr>
            <w:r>
              <w:rPr>
                <w:sz w:val="19"/>
                <w:szCs w:val="19"/>
              </w:rPr>
              <w:t xml:space="preserve">apre il gap a </w:t>
            </w:r>
            <w:r>
              <w:rPr>
                <w:i/>
                <w:iCs/>
                <w:sz w:val="19"/>
                <w:szCs w:val="19"/>
              </w:rPr>
              <w:t>b</w:t>
            </w:r>
            <w:r>
              <w:rPr>
                <w:sz w:val="19"/>
                <w:szCs w:val="19"/>
                <w:vertAlign w:val="subscript"/>
              </w:rPr>
              <w:t>c</w:t>
            </w:r>
            <w:r>
              <w:rPr>
                <w:sz w:val="19"/>
                <w:szCs w:val="19"/>
              </w:rPr>
              <w:t>?</w:t>
            </w:r>
          </w:p>
        </w:tc>
        <w:tc>
          <w:tcPr>
            <w:tcW w:w="3650" w:type="dxa"/>
          </w:tcPr>
          <w:p w14:paraId="567C0D79" w14:textId="77777777" w:rsidR="006C33C1" w:rsidRDefault="00000000">
            <w:pPr>
              <w:jc w:val="center"/>
            </w:pPr>
            <w:r>
              <w:rPr>
                <w:sz w:val="19"/>
                <w:szCs w:val="19"/>
              </w:rPr>
              <w:t>no — resta un incrocio vero per ogni intensità del DM</w:t>
            </w:r>
          </w:p>
        </w:tc>
        <w:tc>
          <w:tcPr>
            <w:tcW w:w="3650" w:type="dxa"/>
          </w:tcPr>
          <w:p w14:paraId="701DB83D" w14:textId="77777777" w:rsidR="006C33C1" w:rsidRDefault="00000000">
            <w:pPr>
              <w:jc w:val="center"/>
            </w:pPr>
            <w:r>
              <w:rPr>
                <w:sz w:val="19"/>
                <w:szCs w:val="19"/>
              </w:rPr>
              <w:t>sì — per questo l'ho scelta</w:t>
            </w:r>
          </w:p>
        </w:tc>
      </w:tr>
    </w:tbl>
    <w:p w14:paraId="7C7D2403" w14:textId="77777777" w:rsidR="006C33C1" w:rsidRDefault="006C33C1">
      <w:pPr>
        <w:spacing w:after="200"/>
      </w:pPr>
    </w:p>
    <w:p w14:paraId="67DB8CE9" w14:textId="77777777" w:rsidR="006C33C1" w:rsidRDefault="00000000">
      <w:pPr>
        <w:spacing w:after="200"/>
        <w:jc w:val="both"/>
      </w:pPr>
      <w:r>
        <w:rPr>
          <w:sz w:val="22"/>
          <w:szCs w:val="22"/>
        </w:rPr>
        <w:t xml:space="preserve">Opzione B ha la stessa forma reale del dimero, quindi l'argomento di realtà vale ugualmente: eppure, con questo specifico ansatz a un solo strato (6 parametri, un blocco per legame più tre Ry finali), è </w:t>
      </w:r>
      <w:r>
        <w:rPr>
          <w:i/>
          <w:iCs/>
          <w:sz w:val="22"/>
          <w:szCs w:val="22"/>
        </w:rPr>
        <w:t>W</w:t>
      </w:r>
      <w:r>
        <w:rPr>
          <w:sz w:val="22"/>
          <w:szCs w:val="22"/>
        </w:rPr>
        <w:t xml:space="preserve">-2q.6 a raggiungere </w:t>
      </w:r>
      <w:r>
        <w:rPr>
          <w:i/>
          <w:iCs/>
          <w:sz w:val="22"/>
          <w:szCs w:val="22"/>
        </w:rPr>
        <w:t>F</w:t>
      </w:r>
      <w:r>
        <w:rPr>
          <w:sz w:val="22"/>
          <w:szCs w:val="22"/>
        </w:rPr>
        <w:t xml:space="preserve">=1 sotto DM, mentre RBS-2q.6 si ferma a </w:t>
      </w:r>
      <w:r>
        <w:rPr>
          <w:i/>
          <w:iCs/>
          <w:sz w:val="22"/>
          <w:szCs w:val="22"/>
        </w:rPr>
        <w:t>F</w:t>
      </w:r>
      <w:r>
        <w:rPr>
          <w:sz w:val="22"/>
          <w:szCs w:val="22"/>
        </w:rPr>
        <w:t xml:space="preserve">=0.999911 (i numeri sono più avanti, insieme al confronto sul costo in gate). Non ho ancora capito il motivo esatto di questa differenza rispetto al dimero — ne riparlo nella domanda finale — ma è per questo, empiricamente, che uso </w:t>
      </w:r>
      <w:r>
        <w:rPr>
          <w:i/>
          <w:iCs/>
          <w:sz w:val="22"/>
          <w:szCs w:val="22"/>
        </w:rPr>
        <w:t>W</w:t>
      </w:r>
      <w:r>
        <w:rPr>
          <w:sz w:val="22"/>
          <w:szCs w:val="22"/>
        </w:rPr>
        <w:t xml:space="preserve"> qui.</w:t>
      </w:r>
    </w:p>
    <w:p w14:paraId="6CB9B05E" w14:textId="77777777" w:rsidR="006C33C1" w:rsidRDefault="00000000">
      <w:pPr>
        <w:spacing w:after="200"/>
        <w:jc w:val="both"/>
      </w:pPr>
      <w:r>
        <w:rPr>
          <w:sz w:val="22"/>
          <w:szCs w:val="22"/>
        </w:rPr>
        <w:t xml:space="preserve">L'ansatz è lo stesso della famiglia PMA (“Physically Motivated Ansatz”, cioè un circuito costruito rispettando fin dall'inizio le simmetrie fisiche del problema, non un circuito generico) “originale” di Crippa et al., già usata per tutto il VQE: parte da una X sul qubit 0, poi applica il blocco </w:t>
      </w:r>
      <w:r>
        <w:rPr>
          <w:i/>
          <w:iCs/>
          <w:sz w:val="22"/>
          <w:szCs w:val="22"/>
        </w:rPr>
        <w:t>W</w:t>
      </w:r>
      <w:r>
        <w:rPr>
          <w:sz w:val="22"/>
          <w:szCs w:val="22"/>
        </w:rPr>
        <w:t xml:space="preserve"> appena introdotto tre volte, una per ciascuno dei tre legami del triangolo (ogni volta su una coppia di qubit diversa, con il proprio parametro), e infine tre Ry indipendenti, uno per qubit — 6 parametri in tutto. Componendo i tre blocchi con la X iniziale sul qubit 0 e i tre Ry indipendenti finali si ottiene il circuito completo. Per non lasciarlo come una scatola nera, qui sotto lo mostro già scomposto nei gate elementari:</w:t>
      </w:r>
    </w:p>
    <w:p w14:paraId="2AAFEB4E" w14:textId="77777777" w:rsidR="006C33C1" w:rsidRDefault="00000000">
      <w:pPr>
        <w:spacing w:after="60"/>
        <w:jc w:val="center"/>
      </w:pPr>
      <w:r>
        <w:rPr>
          <w:noProof/>
        </w:rPr>
        <w:drawing>
          <wp:inline distT="0" distB="0" distL="0" distR="0" wp14:anchorId="07CEB57F" wp14:editId="20157280">
            <wp:extent cx="5486400" cy="1485900"/>
            <wp:effectExtent l="0" t="0" r="0" b="0"/>
            <wp:docPr id="377957869" name="Picture 37795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485900"/>
                    </a:xfrm>
                    <a:prstGeom prst="rect">
                      <a:avLst/>
                    </a:prstGeom>
                  </pic:spPr>
                </pic:pic>
              </a:graphicData>
            </a:graphic>
          </wp:inline>
        </w:drawing>
      </w:r>
    </w:p>
    <w:p w14:paraId="39E2CB34" w14:textId="77777777" w:rsidR="006C33C1" w:rsidRDefault="00000000">
      <w:pPr>
        <w:spacing w:after="240"/>
        <w:jc w:val="center"/>
      </w:pPr>
      <w:r>
        <w:rPr>
          <w:i/>
          <w:iCs/>
          <w:sz w:val="19"/>
          <w:szCs w:val="19"/>
        </w:rPr>
        <w:t>Il circuito dell'ansatz W-2q.6, con i parametri già sostituiti dai valori ottimali trovati (vedi sotto). In totale: 6 CNOT e 6 rotazioni a un qubit (3 Ry dentro i blocchi W, 3 nel layer finale), per una profondità di 10.</w:t>
      </w:r>
    </w:p>
    <w:p w14:paraId="4C9A68C0" w14:textId="77777777" w:rsidR="006C33C1" w:rsidRDefault="00000000">
      <w:pPr>
        <w:spacing w:after="200"/>
        <w:jc w:val="both"/>
      </w:pPr>
      <w:r>
        <w:rPr>
          <w:sz w:val="22"/>
          <w:szCs w:val="22"/>
        </w:rPr>
        <w:lastRenderedPageBreak/>
        <w:t xml:space="preserve">Ho ottimizzato i 6 parametri minimizzando l'energia di aspettazione dell'Hamiltoniana del trimero anello con DM, sempre nella cosiddetta “Opzione B” già presentata sopra — la mantengo qui per coerenza, dato che è quella su cui è stato validato tutto il VQE. Il punto di lavoro è quello confermato </w:t>
      </w:r>
      <w:r>
        <w:rPr>
          <w:i/>
          <w:iCs/>
          <w:sz w:val="22"/>
          <w:szCs w:val="22"/>
        </w:rPr>
        <w:t>J</w:t>
      </w:r>
      <w:r>
        <w:rPr>
          <w:sz w:val="22"/>
          <w:szCs w:val="22"/>
        </w:rPr>
        <w:t xml:space="preserve">=1, </w:t>
      </w:r>
      <w:r>
        <w:rPr>
          <w:i/>
          <w:iCs/>
          <w:sz w:val="22"/>
          <w:szCs w:val="22"/>
        </w:rPr>
        <w:t>J</w:t>
      </w:r>
      <w:r>
        <w:rPr>
          <w:sz w:val="22"/>
          <w:szCs w:val="22"/>
        </w:rPr>
        <w:t xml:space="preserve">'=0.4, </w:t>
      </w:r>
      <w:r>
        <w:rPr>
          <w:i/>
          <w:iCs/>
          <w:sz w:val="22"/>
          <w:szCs w:val="22"/>
        </w:rPr>
        <w:t>b</w:t>
      </w:r>
      <w:r>
        <w:rPr>
          <w:sz w:val="22"/>
          <w:szCs w:val="22"/>
        </w:rPr>
        <w:t>=</w:t>
      </w:r>
      <w:r>
        <w:rPr>
          <w:i/>
          <w:iCs/>
          <w:sz w:val="22"/>
          <w:szCs w:val="22"/>
        </w:rPr>
        <w:t>b</w:t>
      </w:r>
      <w:r>
        <w:rPr>
          <w:sz w:val="22"/>
          <w:szCs w:val="22"/>
          <w:vertAlign w:val="subscript"/>
        </w:rPr>
        <w:t>c</w:t>
      </w:r>
      <w:r>
        <w:rPr>
          <w:sz w:val="22"/>
          <w:szCs w:val="22"/>
        </w:rPr>
        <w:t>=2.4 (</w:t>
      </w:r>
      <w:r>
        <w:rPr>
          <w:i/>
          <w:iCs/>
          <w:sz w:val="22"/>
          <w:szCs w:val="22"/>
        </w:rPr>
        <w:t>b</w:t>
      </w:r>
      <w:r>
        <w:rPr>
          <w:sz w:val="22"/>
          <w:szCs w:val="22"/>
          <w:vertAlign w:val="subscript"/>
        </w:rPr>
        <w:t>c</w:t>
      </w:r>
      <w:r>
        <w:rPr>
          <w:sz w:val="22"/>
          <w:szCs w:val="22"/>
        </w:rPr>
        <w:t xml:space="preserve"> è appunto il campo critico: il valore di </w:t>
      </w:r>
      <w:r>
        <w:rPr>
          <w:i/>
          <w:iCs/>
          <w:sz w:val="22"/>
          <w:szCs w:val="22"/>
        </w:rPr>
        <w:t>b</w:t>
      </w:r>
      <w:r>
        <w:rPr>
          <w:sz w:val="22"/>
          <w:szCs w:val="22"/>
        </w:rPr>
        <w:t xml:space="preserve"> a cui, senza DM, due livelli energetici del sistema si incrociano), </w:t>
      </w:r>
      <w:r>
        <w:rPr>
          <w:i/>
          <w:iCs/>
          <w:sz w:val="22"/>
          <w:szCs w:val="22"/>
        </w:rPr>
        <w:t>D</w:t>
      </w:r>
      <w:r>
        <w:rPr>
          <w:sz w:val="22"/>
          <w:szCs w:val="22"/>
        </w:rPr>
        <w:t>=0.15. Ho lanciato più ottimizzazioni indipendenti da punti di partenza casuali, per non restare intrappolato in un eventuale minimo locale del paesaggio dell'energia.</w:t>
      </w:r>
    </w:p>
    <w:p w14:paraId="5AB165F0" w14:textId="77777777" w:rsidR="006C33C1" w:rsidRDefault="00000000">
      <w:pPr>
        <w:spacing w:after="200"/>
        <w:jc w:val="both"/>
      </w:pPr>
      <w:r>
        <w:rPr>
          <w:i/>
          <w:iCs/>
          <w:sz w:val="22"/>
          <w:szCs w:val="22"/>
        </w:rPr>
        <w:t>E</w:t>
      </w:r>
      <w:r>
        <w:rPr>
          <w:sz w:val="22"/>
          <w:szCs w:val="22"/>
          <w:vertAlign w:val="subscript"/>
        </w:rPr>
        <w:t>VQE</w:t>
      </w:r>
      <w:r>
        <w:rPr>
          <w:sz w:val="22"/>
          <w:szCs w:val="22"/>
        </w:rPr>
        <w:t xml:space="preserve"> = -5.53437001739340    </w:t>
      </w:r>
      <w:r>
        <w:rPr>
          <w:i/>
          <w:iCs/>
          <w:sz w:val="22"/>
          <w:szCs w:val="22"/>
        </w:rPr>
        <w:t>E</w:t>
      </w:r>
      <w:r>
        <w:rPr>
          <w:sz w:val="22"/>
          <w:szCs w:val="22"/>
          <w:vertAlign w:val="subscript"/>
        </w:rPr>
        <w:t>esatto</w:t>
      </w:r>
      <w:r>
        <w:rPr>
          <w:sz w:val="22"/>
          <w:szCs w:val="22"/>
        </w:rPr>
        <w:t xml:space="preserve"> = -5.53437001739350</w:t>
      </w:r>
    </w:p>
    <w:p w14:paraId="62A0A05F" w14:textId="77777777" w:rsidR="006C33C1" w:rsidRDefault="00000000">
      <w:pPr>
        <w:spacing w:after="200"/>
        <w:jc w:val="both"/>
      </w:pPr>
      <w:r>
        <w:rPr>
          <w:sz w:val="22"/>
          <w:szCs w:val="22"/>
        </w:rPr>
        <w:t>Δ</w:t>
      </w:r>
      <w:r>
        <w:rPr>
          <w:i/>
          <w:iCs/>
          <w:sz w:val="22"/>
          <w:szCs w:val="22"/>
        </w:rPr>
        <w:t>E</w:t>
      </w:r>
      <w:r>
        <w:rPr>
          <w:sz w:val="22"/>
          <w:szCs w:val="22"/>
        </w:rPr>
        <w:t xml:space="preserve"> = 9.8×10⁻¹⁴    fedeltà </w:t>
      </w:r>
      <w:r>
        <w:rPr>
          <w:i/>
          <w:iCs/>
          <w:sz w:val="22"/>
          <w:szCs w:val="22"/>
        </w:rPr>
        <w:t>F</w:t>
      </w:r>
      <w:r>
        <w:rPr>
          <w:sz w:val="22"/>
          <w:szCs w:val="22"/>
        </w:rPr>
        <w:t xml:space="preserve"> = 0.99999999999961</w:t>
      </w:r>
    </w:p>
    <w:p w14:paraId="473543D6" w14:textId="77777777" w:rsidR="006C33C1" w:rsidRDefault="00000000">
      <w:pPr>
        <w:spacing w:after="200"/>
        <w:jc w:val="both"/>
      </w:pPr>
      <w:r>
        <w:rPr>
          <w:sz w:val="22"/>
          <w:szCs w:val="22"/>
        </w:rPr>
        <w:t>Il risultato è pulito e robusto: tutte le partenze indipendenti convergono allo stesso minimo, a precisione di macchina, nessuna eccezione — segno che qui il panorama dell'energia è ben condizionato, senza trappole vicine.</w:t>
      </w:r>
    </w:p>
    <w:p w14:paraId="61785516" w14:textId="77777777" w:rsidR="006C33C1" w:rsidRDefault="00000000">
      <w:pPr>
        <w:spacing w:after="200"/>
        <w:jc w:val="both"/>
      </w:pPr>
      <w:r>
        <w:rPr>
          <w:sz w:val="22"/>
          <w:szCs w:val="22"/>
        </w:rPr>
        <w:t xml:space="preserve">Il confronto fra le famiglie di ansatz, fatto in una fase precedente su tutta la griglia di </w:t>
      </w:r>
      <w:r>
        <w:rPr>
          <w:i/>
          <w:iCs/>
          <w:sz w:val="22"/>
          <w:szCs w:val="22"/>
        </w:rPr>
        <w:t>b</w:t>
      </w:r>
      <w:r>
        <w:rPr>
          <w:sz w:val="22"/>
          <w:szCs w:val="22"/>
        </w:rPr>
        <w:t xml:space="preserve"> (non solo in questo punto), dà un quadro più netto di quanto suggerisca un singolo numero approssimato. A </w:t>
      </w:r>
      <w:r>
        <w:rPr>
          <w:i/>
          <w:iCs/>
          <w:sz w:val="22"/>
          <w:szCs w:val="22"/>
        </w:rPr>
        <w:t>D</w:t>
      </w:r>
      <w:r>
        <w:rPr>
          <w:sz w:val="22"/>
          <w:szCs w:val="22"/>
        </w:rPr>
        <w:t xml:space="preserve">=0 tutte le famiglie con almeno 6 parametri arrivano a fedeltà esatta; sotto DM, allo stesso punto di lavoro </w:t>
      </w:r>
      <w:r>
        <w:rPr>
          <w:i/>
          <w:iCs/>
          <w:sz w:val="22"/>
          <w:szCs w:val="22"/>
        </w:rPr>
        <w:t>b</w:t>
      </w:r>
      <w:r>
        <w:rPr>
          <w:sz w:val="22"/>
          <w:szCs w:val="22"/>
        </w:rPr>
        <w:t>=</w:t>
      </w:r>
      <w:r>
        <w:rPr>
          <w:i/>
          <w:iCs/>
          <w:sz w:val="22"/>
          <w:szCs w:val="22"/>
        </w:rPr>
        <w:t>b</w:t>
      </w:r>
      <w:r>
        <w:rPr>
          <w:sz w:val="22"/>
          <w:szCs w:val="22"/>
          <w:vertAlign w:val="subscript"/>
        </w:rPr>
        <w:t>c</w:t>
      </w:r>
      <w:r>
        <w:rPr>
          <w:sz w:val="22"/>
          <w:szCs w:val="22"/>
        </w:rPr>
        <w:t>, il comportamento si separa nettamente: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800"/>
        <w:gridCol w:w="2200"/>
        <w:gridCol w:w="2200"/>
      </w:tblGrid>
      <w:tr w:rsidR="006C33C1" w14:paraId="5B8792D6" w14:textId="77777777">
        <w:tblPrEx>
          <w:tblCellMar>
            <w:top w:w="0" w:type="dxa"/>
            <w:bottom w:w="0" w:type="dxa"/>
          </w:tblCellMar>
        </w:tblPrEx>
        <w:tc>
          <w:tcPr>
            <w:tcW w:w="3300" w:type="dxa"/>
            <w:shd w:val="clear" w:color="auto" w:fill="E8E8E8"/>
          </w:tcPr>
          <w:p w14:paraId="60651FDB" w14:textId="77777777" w:rsidR="006C33C1" w:rsidRDefault="00000000">
            <w:pPr>
              <w:jc w:val="center"/>
            </w:pPr>
            <w:r>
              <w:rPr>
                <w:b/>
                <w:bCs/>
                <w:sz w:val="19"/>
                <w:szCs w:val="19"/>
              </w:rPr>
              <w:t>ansatz</w:t>
            </w:r>
          </w:p>
        </w:tc>
        <w:tc>
          <w:tcPr>
            <w:tcW w:w="1800" w:type="dxa"/>
            <w:shd w:val="clear" w:color="auto" w:fill="E8E8E8"/>
          </w:tcPr>
          <w:p w14:paraId="2283FFDC" w14:textId="77777777" w:rsidR="006C33C1" w:rsidRDefault="00000000">
            <w:pPr>
              <w:jc w:val="center"/>
            </w:pPr>
            <w:r>
              <w:rPr>
                <w:b/>
                <w:bCs/>
                <w:sz w:val="19"/>
                <w:szCs w:val="19"/>
              </w:rPr>
              <w:t>parametri</w:t>
            </w:r>
          </w:p>
        </w:tc>
        <w:tc>
          <w:tcPr>
            <w:tcW w:w="2200" w:type="dxa"/>
            <w:shd w:val="clear" w:color="auto" w:fill="E8E8E8"/>
          </w:tcPr>
          <w:p w14:paraId="3CFB5298" w14:textId="77777777" w:rsidR="006C33C1" w:rsidRDefault="00000000">
            <w:pPr>
              <w:jc w:val="center"/>
            </w:pPr>
            <w:r>
              <w:rPr>
                <w:b/>
                <w:bCs/>
                <w:i/>
                <w:iCs/>
                <w:sz w:val="19"/>
                <w:szCs w:val="19"/>
              </w:rPr>
              <w:t>F</w:t>
            </w:r>
            <w:r>
              <w:rPr>
                <w:b/>
                <w:bCs/>
                <w:sz w:val="19"/>
                <w:szCs w:val="19"/>
              </w:rPr>
              <w:t xml:space="preserve"> (</w:t>
            </w:r>
            <w:r>
              <w:rPr>
                <w:b/>
                <w:bCs/>
                <w:i/>
                <w:iCs/>
                <w:sz w:val="19"/>
                <w:szCs w:val="19"/>
              </w:rPr>
              <w:t>D</w:t>
            </w:r>
            <w:r>
              <w:rPr>
                <w:b/>
                <w:bCs/>
                <w:sz w:val="19"/>
                <w:szCs w:val="19"/>
              </w:rPr>
              <w:t>=0)</w:t>
            </w:r>
          </w:p>
        </w:tc>
        <w:tc>
          <w:tcPr>
            <w:tcW w:w="2200" w:type="dxa"/>
            <w:shd w:val="clear" w:color="auto" w:fill="E8E8E8"/>
          </w:tcPr>
          <w:p w14:paraId="109C697D" w14:textId="77777777" w:rsidR="006C33C1" w:rsidRDefault="00000000">
            <w:pPr>
              <w:jc w:val="center"/>
            </w:pPr>
            <w:r>
              <w:rPr>
                <w:b/>
                <w:bCs/>
                <w:i/>
                <w:iCs/>
                <w:sz w:val="19"/>
                <w:szCs w:val="19"/>
              </w:rPr>
              <w:t>F</w:t>
            </w:r>
            <w:r>
              <w:rPr>
                <w:b/>
                <w:bCs/>
                <w:sz w:val="19"/>
                <w:szCs w:val="19"/>
              </w:rPr>
              <w:t xml:space="preserve"> (DM, </w:t>
            </w:r>
            <w:r>
              <w:rPr>
                <w:b/>
                <w:bCs/>
                <w:i/>
                <w:iCs/>
                <w:sz w:val="19"/>
                <w:szCs w:val="19"/>
              </w:rPr>
              <w:t>b</w:t>
            </w:r>
            <w:r>
              <w:rPr>
                <w:b/>
                <w:bCs/>
                <w:sz w:val="19"/>
                <w:szCs w:val="19"/>
              </w:rPr>
              <w:t>=</w:t>
            </w:r>
            <w:r>
              <w:rPr>
                <w:b/>
                <w:bCs/>
                <w:i/>
                <w:iCs/>
                <w:sz w:val="19"/>
                <w:szCs w:val="19"/>
              </w:rPr>
              <w:t>b</w:t>
            </w:r>
            <w:r>
              <w:rPr>
                <w:b/>
                <w:bCs/>
                <w:sz w:val="19"/>
                <w:szCs w:val="19"/>
                <w:vertAlign w:val="subscript"/>
              </w:rPr>
              <w:t>c</w:t>
            </w:r>
            <w:r>
              <w:rPr>
                <w:b/>
                <w:bCs/>
                <w:sz w:val="19"/>
                <w:szCs w:val="19"/>
              </w:rPr>
              <w:t>)</w:t>
            </w:r>
          </w:p>
        </w:tc>
      </w:tr>
      <w:tr w:rsidR="006C33C1" w14:paraId="4A73535B" w14:textId="77777777">
        <w:tblPrEx>
          <w:tblCellMar>
            <w:top w:w="0" w:type="dxa"/>
            <w:bottom w:w="0" w:type="dxa"/>
          </w:tblCellMar>
        </w:tblPrEx>
        <w:tc>
          <w:tcPr>
            <w:tcW w:w="3300" w:type="dxa"/>
          </w:tcPr>
          <w:p w14:paraId="7B18FEF2" w14:textId="77777777" w:rsidR="006C33C1" w:rsidRDefault="00000000">
            <w:pPr>
              <w:jc w:val="center"/>
            </w:pPr>
            <w:r>
              <w:rPr>
                <w:sz w:val="19"/>
                <w:szCs w:val="19"/>
              </w:rPr>
              <w:t>RBS-2q.6</w:t>
            </w:r>
          </w:p>
        </w:tc>
        <w:tc>
          <w:tcPr>
            <w:tcW w:w="1800" w:type="dxa"/>
          </w:tcPr>
          <w:p w14:paraId="08F976A4" w14:textId="77777777" w:rsidR="006C33C1" w:rsidRDefault="00000000">
            <w:pPr>
              <w:jc w:val="center"/>
            </w:pPr>
            <w:r>
              <w:rPr>
                <w:sz w:val="19"/>
                <w:szCs w:val="19"/>
              </w:rPr>
              <w:t>6</w:t>
            </w:r>
          </w:p>
        </w:tc>
        <w:tc>
          <w:tcPr>
            <w:tcW w:w="2200" w:type="dxa"/>
          </w:tcPr>
          <w:p w14:paraId="65491445" w14:textId="77777777" w:rsidR="006C33C1" w:rsidRDefault="00000000">
            <w:pPr>
              <w:jc w:val="center"/>
            </w:pPr>
            <w:r>
              <w:rPr>
                <w:sz w:val="19"/>
                <w:szCs w:val="19"/>
              </w:rPr>
              <w:t>1.000000</w:t>
            </w:r>
          </w:p>
        </w:tc>
        <w:tc>
          <w:tcPr>
            <w:tcW w:w="2200" w:type="dxa"/>
          </w:tcPr>
          <w:p w14:paraId="3F9B78BA" w14:textId="77777777" w:rsidR="006C33C1" w:rsidRDefault="00000000">
            <w:pPr>
              <w:jc w:val="center"/>
            </w:pPr>
            <w:r>
              <w:rPr>
                <w:sz w:val="19"/>
                <w:szCs w:val="19"/>
              </w:rPr>
              <w:t>0.999911</w:t>
            </w:r>
          </w:p>
        </w:tc>
      </w:tr>
      <w:tr w:rsidR="006C33C1" w14:paraId="52ADFA85" w14:textId="77777777">
        <w:tblPrEx>
          <w:tblCellMar>
            <w:top w:w="0" w:type="dxa"/>
            <w:bottom w:w="0" w:type="dxa"/>
          </w:tblCellMar>
        </w:tblPrEx>
        <w:tc>
          <w:tcPr>
            <w:tcW w:w="3300" w:type="dxa"/>
          </w:tcPr>
          <w:p w14:paraId="4551B774" w14:textId="77777777" w:rsidR="006C33C1" w:rsidRDefault="00000000">
            <w:pPr>
              <w:jc w:val="center"/>
            </w:pPr>
            <w:r>
              <w:rPr>
                <w:sz w:val="19"/>
                <w:szCs w:val="19"/>
              </w:rPr>
              <w:t>W-1q.6</w:t>
            </w:r>
          </w:p>
        </w:tc>
        <w:tc>
          <w:tcPr>
            <w:tcW w:w="1800" w:type="dxa"/>
          </w:tcPr>
          <w:p w14:paraId="6AF7BE78" w14:textId="77777777" w:rsidR="006C33C1" w:rsidRDefault="00000000">
            <w:pPr>
              <w:jc w:val="center"/>
            </w:pPr>
            <w:r>
              <w:rPr>
                <w:sz w:val="19"/>
                <w:szCs w:val="19"/>
              </w:rPr>
              <w:t>6</w:t>
            </w:r>
          </w:p>
        </w:tc>
        <w:tc>
          <w:tcPr>
            <w:tcW w:w="2200" w:type="dxa"/>
          </w:tcPr>
          <w:p w14:paraId="3D52FFEC" w14:textId="77777777" w:rsidR="006C33C1" w:rsidRDefault="00000000">
            <w:pPr>
              <w:jc w:val="center"/>
            </w:pPr>
            <w:r>
              <w:rPr>
                <w:sz w:val="19"/>
                <w:szCs w:val="19"/>
              </w:rPr>
              <w:t>1.000000</w:t>
            </w:r>
          </w:p>
        </w:tc>
        <w:tc>
          <w:tcPr>
            <w:tcW w:w="2200" w:type="dxa"/>
          </w:tcPr>
          <w:p w14:paraId="3430E42A" w14:textId="77777777" w:rsidR="006C33C1" w:rsidRDefault="00000000">
            <w:pPr>
              <w:jc w:val="center"/>
            </w:pPr>
            <w:r>
              <w:rPr>
                <w:sz w:val="19"/>
                <w:szCs w:val="19"/>
              </w:rPr>
              <w:t>0.868245</w:t>
            </w:r>
          </w:p>
        </w:tc>
      </w:tr>
      <w:tr w:rsidR="006C33C1" w14:paraId="32EEE45F" w14:textId="77777777">
        <w:tblPrEx>
          <w:tblCellMar>
            <w:top w:w="0" w:type="dxa"/>
            <w:bottom w:w="0" w:type="dxa"/>
          </w:tblCellMar>
        </w:tblPrEx>
        <w:tc>
          <w:tcPr>
            <w:tcW w:w="3300" w:type="dxa"/>
          </w:tcPr>
          <w:p w14:paraId="7770A34B" w14:textId="77777777" w:rsidR="006C33C1" w:rsidRDefault="00000000">
            <w:pPr>
              <w:jc w:val="center"/>
            </w:pPr>
            <w:r>
              <w:rPr>
                <w:sz w:val="19"/>
                <w:szCs w:val="19"/>
              </w:rPr>
              <w:t>W-2q.6 (usato qui)</w:t>
            </w:r>
          </w:p>
        </w:tc>
        <w:tc>
          <w:tcPr>
            <w:tcW w:w="1800" w:type="dxa"/>
          </w:tcPr>
          <w:p w14:paraId="3735726D" w14:textId="77777777" w:rsidR="006C33C1" w:rsidRDefault="00000000">
            <w:pPr>
              <w:jc w:val="center"/>
            </w:pPr>
            <w:r>
              <w:rPr>
                <w:sz w:val="19"/>
                <w:szCs w:val="19"/>
              </w:rPr>
              <w:t>6</w:t>
            </w:r>
          </w:p>
        </w:tc>
        <w:tc>
          <w:tcPr>
            <w:tcW w:w="2200" w:type="dxa"/>
          </w:tcPr>
          <w:p w14:paraId="187394F2" w14:textId="77777777" w:rsidR="006C33C1" w:rsidRDefault="00000000">
            <w:pPr>
              <w:jc w:val="center"/>
            </w:pPr>
            <w:r>
              <w:rPr>
                <w:sz w:val="19"/>
                <w:szCs w:val="19"/>
              </w:rPr>
              <w:t>1.000000</w:t>
            </w:r>
          </w:p>
        </w:tc>
        <w:tc>
          <w:tcPr>
            <w:tcW w:w="2200" w:type="dxa"/>
          </w:tcPr>
          <w:p w14:paraId="2525B71F" w14:textId="77777777" w:rsidR="006C33C1" w:rsidRDefault="00000000">
            <w:pPr>
              <w:jc w:val="center"/>
            </w:pPr>
            <w:r>
              <w:rPr>
                <w:sz w:val="19"/>
                <w:szCs w:val="19"/>
              </w:rPr>
              <w:t>0.99999999999961</w:t>
            </w:r>
          </w:p>
        </w:tc>
      </w:tr>
    </w:tbl>
    <w:p w14:paraId="11BBEEA0" w14:textId="77777777" w:rsidR="006C33C1" w:rsidRDefault="006C33C1">
      <w:pPr>
        <w:spacing w:after="200"/>
      </w:pPr>
    </w:p>
    <w:p w14:paraId="71BE28FE" w14:textId="77777777" w:rsidR="006C33C1" w:rsidRDefault="00000000">
      <w:pPr>
        <w:spacing w:after="200"/>
        <w:jc w:val="both"/>
      </w:pPr>
      <w:r>
        <w:rPr>
          <w:sz w:val="22"/>
          <w:szCs w:val="22"/>
        </w:rPr>
        <w:t>Le tre famiglie hanno lo stesso numero di parametri: la differenza sotto DM non è quindi questione di quanti gradi di libertà si usano, ma di come sono distribuiti fra i qubit. RBS-2q.6 si blocca su un tetto strutturale vero (il valore 0.999911 è identico per tre varianti indipendenti della stessa famiglia, non è una convergenza incompleta); W-1q.6 va incontro a un crollo ben peggiore, proprio nella zona attorno al punto di lavoro; W-2q.6 è l'unico dei tre a raggiungere l'esatto.</w:t>
      </w:r>
    </w:p>
    <w:p w14:paraId="2737934F" w14:textId="77777777" w:rsidR="006C33C1" w:rsidRDefault="00000000">
      <w:pPr>
        <w:spacing w:after="200"/>
        <w:jc w:val="both"/>
      </w:pPr>
      <w:r>
        <w:rPr>
          <w:sz w:val="22"/>
          <w:szCs w:val="22"/>
        </w:rPr>
        <w:t xml:space="preserve">La fedeltà non è però l'unico motivo per preferire W-2q.6 a RBS-2q.6: c'è anche un argomento di costo, indipendente dal DM e già valido a </w:t>
      </w:r>
      <w:r>
        <w:rPr>
          <w:i/>
          <w:iCs/>
          <w:sz w:val="22"/>
          <w:szCs w:val="22"/>
        </w:rPr>
        <w:t>D</w:t>
      </w:r>
      <w:r>
        <w:rPr>
          <w:sz w:val="22"/>
          <w:szCs w:val="22"/>
        </w:rPr>
        <w:t xml:space="preserve">=0, dove le due famiglie sono equivalenti in fedeltà. Il blocco RBS, già mostrato nella nota introduttiva (usato al posto del blocco W in RBS-2q.6, con la stessa struttura a tre blocchi più tre Ry finali), realizza la stessa rotazione di Givens reale nel sottospazio {|01⟩,|10⟩}, ma con un'implementazione più costosa: quattro Hadamard e un Ry in più per blocco rispetto a </w:t>
      </w:r>
      <w:r>
        <w:rPr>
          <w:i/>
          <w:iCs/>
          <w:sz w:val="22"/>
          <w:szCs w:val="22"/>
        </w:rPr>
        <w:t>W</w:t>
      </w:r>
      <w:r>
        <w:rPr>
          <w:sz w:val="22"/>
          <w:szCs w:val="22"/>
        </w:rPr>
        <w:t>.</w:t>
      </w:r>
    </w:p>
    <w:p w14:paraId="1A1AFB11" w14:textId="77777777" w:rsidR="006C33C1" w:rsidRDefault="00000000">
      <w:pPr>
        <w:spacing w:after="200"/>
        <w:jc w:val="both"/>
      </w:pPr>
      <w:r>
        <w:rPr>
          <w:sz w:val="22"/>
          <w:szCs w:val="22"/>
        </w:rPr>
        <w:t>Decomponendo entrambi i circuiti completi nei gate elementari (stessa struttura per entrambi: X iniziale, tre blocchi sui tre legami, tre Ry finali) il conto è netto: 6 porte a due qubit per entrambi (6 CZ per RBS-2q.6, 6 CNOT per W-2q.6, quindi nessun vantaggio da questo lato), ma 22 porte a un qubit per RBS-2q.6 contro appena 7 per W-2q.6, per un totale di 28 gate contro 13 e una profondità di 16 contro 10. Su un dispositivo reale, dove ogni gate aggiunge rumore e ogni livello di profondità aggiunge tempo di decoerenza, questo è un argomento a favore di W-2q.6 indipendente dalla fedeltà: a parità di risultato (o, sotto DM, con risultato migliore) costa quasi la metà in porte logiche.</w:t>
      </w:r>
    </w:p>
    <w:p w14:paraId="181E8BF4" w14:textId="77777777" w:rsidR="006C33C1" w:rsidRDefault="00000000">
      <w:pPr>
        <w:spacing w:after="200"/>
        <w:jc w:val="both"/>
      </w:pPr>
      <w:r>
        <w:rPr>
          <w:sz w:val="22"/>
          <w:szCs w:val="22"/>
        </w:rPr>
        <w:t xml:space="preserve">C'è una cosa su cui vorrei il suo parere: non ho ancora capito se </w:t>
      </w:r>
      <w:r>
        <w:rPr>
          <w:i/>
          <w:iCs/>
          <w:sz w:val="22"/>
          <w:szCs w:val="22"/>
        </w:rPr>
        <w:t>F</w:t>
      </w:r>
      <w:r>
        <w:rPr>
          <w:sz w:val="22"/>
          <w:szCs w:val="22"/>
        </w:rPr>
        <w:t xml:space="preserve">=1 a questo punto specifico sia una coincidenza fortunata o se l'ansatz W-2q.6 raggiunga la fedeltà esatta ovunque nella regione con DM attivo — la tabella sopra conferma che RBS-2q.6 si ferma a </w:t>
      </w:r>
      <w:r>
        <w:rPr>
          <w:i/>
          <w:iCs/>
          <w:sz w:val="22"/>
          <w:szCs w:val="22"/>
        </w:rPr>
        <w:t>F</w:t>
      </w:r>
      <w:r>
        <w:rPr>
          <w:sz w:val="22"/>
          <w:szCs w:val="22"/>
        </w:rPr>
        <w:t>=0.999911 sotto DM, quindi la differenza fra le due famiglie non è un dettaglio, e non posso escludere che anche W-2q.6 si comporti diversamente lontano da questo punto preciso. Le sembra utile che controlli anche un paio di altri punti prima di generalizzare il risultato, oppure per ora può bastare così, dato che è comunque il punto di lavoro che uso davvero per le correlazioni?</w:t>
      </w:r>
    </w:p>
    <w:sectPr w:rsidR="006C33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37694"/>
    <w:multiLevelType w:val="hybridMultilevel"/>
    <w:tmpl w:val="262839F8"/>
    <w:lvl w:ilvl="0" w:tplc="2B90C078">
      <w:start w:val="1"/>
      <w:numFmt w:val="bullet"/>
      <w:lvlText w:val="●"/>
      <w:lvlJc w:val="left"/>
      <w:pPr>
        <w:ind w:left="720" w:hanging="360"/>
      </w:pPr>
    </w:lvl>
    <w:lvl w:ilvl="1" w:tplc="3EC80A22">
      <w:start w:val="1"/>
      <w:numFmt w:val="bullet"/>
      <w:lvlText w:val="○"/>
      <w:lvlJc w:val="left"/>
      <w:pPr>
        <w:ind w:left="1440" w:hanging="360"/>
      </w:pPr>
    </w:lvl>
    <w:lvl w:ilvl="2" w:tplc="3724EA3E">
      <w:start w:val="1"/>
      <w:numFmt w:val="bullet"/>
      <w:lvlText w:val="■"/>
      <w:lvlJc w:val="left"/>
      <w:pPr>
        <w:ind w:left="2160" w:hanging="360"/>
      </w:pPr>
    </w:lvl>
    <w:lvl w:ilvl="3" w:tplc="E5AC87BC">
      <w:start w:val="1"/>
      <w:numFmt w:val="bullet"/>
      <w:lvlText w:val="●"/>
      <w:lvlJc w:val="left"/>
      <w:pPr>
        <w:ind w:left="2880" w:hanging="360"/>
      </w:pPr>
    </w:lvl>
    <w:lvl w:ilvl="4" w:tplc="96F6FE42">
      <w:start w:val="1"/>
      <w:numFmt w:val="bullet"/>
      <w:lvlText w:val="○"/>
      <w:lvlJc w:val="left"/>
      <w:pPr>
        <w:ind w:left="3600" w:hanging="360"/>
      </w:pPr>
    </w:lvl>
    <w:lvl w:ilvl="5" w:tplc="C93696D8">
      <w:start w:val="1"/>
      <w:numFmt w:val="bullet"/>
      <w:lvlText w:val="■"/>
      <w:lvlJc w:val="left"/>
      <w:pPr>
        <w:ind w:left="4320" w:hanging="360"/>
      </w:pPr>
    </w:lvl>
    <w:lvl w:ilvl="6" w:tplc="417EE50E">
      <w:start w:val="1"/>
      <w:numFmt w:val="bullet"/>
      <w:lvlText w:val="●"/>
      <w:lvlJc w:val="left"/>
      <w:pPr>
        <w:ind w:left="5040" w:hanging="360"/>
      </w:pPr>
    </w:lvl>
    <w:lvl w:ilvl="7" w:tplc="F9189E54">
      <w:start w:val="1"/>
      <w:numFmt w:val="bullet"/>
      <w:lvlText w:val="●"/>
      <w:lvlJc w:val="left"/>
      <w:pPr>
        <w:ind w:left="5760" w:hanging="360"/>
      </w:pPr>
    </w:lvl>
    <w:lvl w:ilvl="8" w:tplc="8E968AC0">
      <w:start w:val="1"/>
      <w:numFmt w:val="bullet"/>
      <w:lvlText w:val="●"/>
      <w:lvlJc w:val="left"/>
      <w:pPr>
        <w:ind w:left="6480" w:hanging="360"/>
      </w:pPr>
    </w:lvl>
  </w:abstractNum>
  <w:num w:numId="1" w16cid:durableId="811598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3C1"/>
    <w:rsid w:val="006C33C1"/>
    <w:rsid w:val="00A54A16"/>
    <w:rsid w:val="00CE1348"/>
    <w:rsid w:val="00F31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0F22"/>
  <w15:docId w15:val="{F067DEF9-6025-4B78-936E-9063AC37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1495</Words>
  <Characters>8527</Characters>
  <Application>Microsoft Office Word</Application>
  <DocSecurity>0</DocSecurity>
  <Lines>71</Lines>
  <Paragraphs>20</Paragraphs>
  <ScaleCrop>false</ScaleCrop>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Samuele Schiavi</dc:creator>
  <cp:lastModifiedBy>Samuele SCHIAVI</cp:lastModifiedBy>
  <cp:revision>3</cp:revision>
  <dcterms:created xsi:type="dcterms:W3CDTF">2026-08-24T16:46:00Z</dcterms:created>
  <dcterms:modified xsi:type="dcterms:W3CDTF">2026-08-24T17:28:00Z</dcterms:modified>
</cp:coreProperties>
</file>