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Riporto i risultati ottenuti nello studio del rumore quantistico applicato al dimero di spin, dal modello di rumore fino agli scan sui parametri e a due estensioni (ottimizzazione del VQE sotto rumore ed errore di lettura asimmetrico). Il punto di lavoro principale è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b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/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J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=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0.35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/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J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=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0.80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con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J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=1 (“test 2”); un secondo punto di lavoro 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b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/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J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=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−0.18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/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J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=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) è usato per verificare la generalità di alcuni risultati.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Modello di rumore.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Il rumore è descritto da due canali: un canale depolarizzante per gli errori di gate (separato a 1 e 2 qubit) e un errore di lettura (readout). I parametri sono calibrati sulle mediane pubblicate per il processore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ibm_torino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(IBM Heron r1, 133 qubit; Stenger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et al.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arXiv:2504.15187):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100"/>
      </w:tblGrid>
      <w:tr>
        <w:tc>
          <w:tcPr>
            <w:tcW w:type="dxa" w:w="3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8E8E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parametro</w:t>
            </w:r>
          </w:p>
        </w:tc>
        <w:tc>
          <w:tcPr>
            <w:tcW w:type="dxa" w:w="3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8E8E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gate di riferimento</w:t>
            </w:r>
          </w:p>
        </w:tc>
        <w:tc>
          <w:tcPr>
            <w:tcW w:type="dxa" w:w="31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8E8E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valore mediano</w:t>
            </w:r>
          </w:p>
        </w:tc>
      </w:tr>
      <w:tr>
        <w:tc>
          <w:tcPr>
            <w:tcW w:type="dxa" w:w="3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ε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vertAlign w:val="subscript"/>
              </w:rPr>
              <w:t xml:space="preserve">1q</w:t>
            </w:r>
          </w:p>
        </w:tc>
        <w:tc>
          <w:tcPr>
            <w:tcW w:type="dxa" w:w="3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sx</w:t>
            </w:r>
          </w:p>
        </w:tc>
        <w:tc>
          <w:tcPr>
            <w:tcW w:type="dxa" w:w="31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2.9×10⁻⁴</w:t>
            </w:r>
          </w:p>
        </w:tc>
      </w:tr>
      <w:tr>
        <w:tc>
          <w:tcPr>
            <w:tcW w:type="dxa" w:w="3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ε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vertAlign w:val="subscript"/>
              </w:rPr>
              <w:t xml:space="preserve">2q</w:t>
            </w:r>
          </w:p>
        </w:tc>
        <w:tc>
          <w:tcPr>
            <w:tcW w:type="dxa" w:w="3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CZ</w:t>
            </w:r>
          </w:p>
        </w:tc>
        <w:tc>
          <w:tcPr>
            <w:tcW w:type="dxa" w:w="31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3.8×10⁻³</w:t>
            </w:r>
          </w:p>
        </w:tc>
      </w:tr>
      <w:tr>
        <w:tc>
          <w:tcPr>
            <w:tcW w:type="dxa" w:w="3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p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vertAlign w:val="subscript"/>
              </w:rPr>
              <w:t xml:space="preserve">readout</w:t>
            </w:r>
          </w:p>
        </w:tc>
        <w:tc>
          <w:tcPr>
            <w:tcW w:type="dxa" w:w="3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1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2.3×10⁻²</w:t>
            </w:r>
          </w:p>
        </w:tc>
      </w:tr>
    </w:tbl>
    <w:p>
      <w:pPr>
        <w:spacing w:after="1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Ottimizzazione del VQE con termine di Dzyaloshinskii–Moriya sotto rumore.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Riusando i parametri ottimizzati nel caso ideale (fedeltà 1, entro la precisione numerica) e valutando lo stesso circuito su un simulatore a operatore densità con il modello di rumore agganciato, si osserva: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500"/>
        <w:gridCol w:w="2500"/>
        <w:gridCol w:w="1300"/>
      </w:tblGrid>
      <w:tr>
        <w:tc>
          <w:tcPr>
            <w:tcW w:type="dxa" w:w="3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8E8E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condizione</w:t>
            </w:r>
          </w:p>
        </w:tc>
        <w:tc>
          <w:tcPr>
            <w:tcW w:type="dxa" w:w="25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8E8E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E</w:t>
            </w:r>
          </w:p>
        </w:tc>
        <w:tc>
          <w:tcPr>
            <w:tcW w:type="dxa" w:w="25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8E8E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F</w:t>
            </w:r>
          </w:p>
        </w:tc>
        <w:tc>
          <w:tcPr>
            <w:tcW w:type="dxa" w:w="13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8E8E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CNOT</w:t>
            </w:r>
          </w:p>
        </w:tc>
      </w:tr>
      <w:tr>
        <w:tc>
          <w:tcPr>
            <w:tcW w:type="dxa" w:w="3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rumore nullo</w:t>
            </w:r>
          </w:p>
        </w:tc>
        <w:tc>
          <w:tcPr>
            <w:tcW w:type="dxa" w:w="25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−3.57321145</w:t>
            </w:r>
          </w:p>
        </w:tc>
        <w:tc>
          <w:tcPr>
            <w:tcW w:type="dxa" w:w="25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1.0000000</w:t>
            </w:r>
          </w:p>
        </w:tc>
        <w:tc>
          <w:tcPr>
            <w:tcW w:type="dxa" w:w="13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rumore di riferimento</w:t>
            </w:r>
          </w:p>
        </w:tc>
        <w:tc>
          <w:tcPr>
            <w:tcW w:type="dxa" w:w="25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−3.50164605</w:t>
            </w:r>
          </w:p>
        </w:tc>
        <w:tc>
          <w:tcPr>
            <w:tcW w:type="dxa" w:w="25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0.9850060</w:t>
            </w:r>
          </w:p>
        </w:tc>
        <w:tc>
          <w:tcPr>
            <w:tcW w:type="dxa" w:w="13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</w:tr>
    </w:tbl>
    <w:p>
      <w:pPr>
        <w:spacing w:after="2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Il caso a rumore nullo riproduce l'energia esatta a precisione numerica; al rumore di riferimento la perdita di fedeltà è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1−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F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=0.014994 (∼1.5%), con un ansatz a soli 2 CNOT. La figura seguente mostra energia e fedeltà in funzione di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ε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  <w:vertAlign w:val="subscript"/>
        </w:rPr>
        <w:t xml:space="preserve">2q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a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ε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  <w:vertAlign w:val="subscript"/>
        </w:rPr>
        <w:t xml:space="preserve">1q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=2.9×10⁻⁴ 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  <w:vertAlign w:val="subscript"/>
        </w:rPr>
        <w:t xml:space="preserve">readout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=2.3×10⁻² fissati:</w:t>
      </w:r>
    </w:p>
    <w:p>
      <w:pPr>
        <w:spacing w:after="80"/>
        <w:jc w:val="center"/>
      </w:pPr>
      <w:r>
        <w:drawing>
          <wp:inline distT="0" distB="0" distL="0" distR="0">
            <wp:extent cx="5900000" cy="229208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0000" cy="2292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9"/>
          <w:szCs w:val="19"/>
        </w:rPr>
        <w:t xml:space="preserve">Energia e fedeltà rumorose in funzione di ε2q. Degradazione monotona e liscia su tutto l'intervallo esplorato, dal rumore nullo a 4× il valore di riferimento.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Simulazione quantistica (Trotter) sotto rumore.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L'evoluzione temporale reale è approssimata con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passi di Suzuki–Trotter. La fedeltà rispetto allo stato bersaglio fisico, in funzione di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presenta un massimo netto:</w:t>
      </w:r>
    </w:p>
    <w:p>
      <w:pPr>
        <w:spacing w:after="80"/>
        <w:jc w:val="center"/>
      </w:pPr>
      <w:r>
        <w:drawing>
          <wp:inline distT="0" distB="0" distL="0" distR="0">
            <wp:extent cx="4200000" cy="2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000" cy="2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9"/>
          <w:szCs w:val="19"/>
        </w:rPr>
        <w:t xml:space="preserve">Fedeltà F(N) rispetto allo stato bersaglio fisico, rumore di riferimento. Il massimo è a N*=8, F(N*)=0.817725: crescita rapida per N piccolo (l'errore di Trotter domina), decrescita lenta per N grande (il rumore di gate accumulato domina).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 curva non è monotona per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piccolo: parte relativamente alta a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=1 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F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≈0.78), scende in modo sostanziale fino a un minimo a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=3 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F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≈0.40), poi risale con continuità. Lo stesso minimo, alla stessa posizione, compare identico anche a rumore nullo: è il regime non ancora perturbativo dell'errore di Trotter 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τ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=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/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ancora grande per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≤3), non un artefatto della simulazione.</w:t>
      </w:r>
    </w:p>
    <w:p>
      <w:pPr>
        <w:spacing w:after="80"/>
        <w:jc w:val="center"/>
      </w:pPr>
      <w:r>
        <w:drawing>
          <wp:inline distT="0" distB="0" distL="0" distR="0">
            <wp:extent cx="3800000" cy="249940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000" cy="249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9"/>
          <w:szCs w:val="19"/>
        </w:rPr>
        <w:t xml:space="preserve">Zoom sulla regione non perturbativa, N=1 a 8. Il minimo è a N=3, identico a rumore nullo e a rumore acceso: prova diretta che è un effetto di Trotter puro.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Correlatori dinamici sotto rumore.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Un correlatore dinamico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  <w:vertAlign w:val="subscript"/>
        </w:rPr>
        <w:t xml:space="preserve">ij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  <w:vertAlign w:val="superscript"/>
        </w:rPr>
        <w:t xml:space="preserve">αβ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) si estrae da un circuito con ancilla (test di Hadamard), che introduce per la prima volta una misura reale e quindi l'errore di lettura. Per readout simmetrico di parametro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la correzione è puramente moltiplicativa: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⟨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Z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⟩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  <w:vertAlign w:val="subscript"/>
        </w:rPr>
        <w:t xml:space="preserve">readout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= (1−2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) ⟨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Z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⟩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  <w:vertAlign w:val="subscript"/>
        </w:rPr>
        <w:t xml:space="preserve">ideale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Il modulo del correlatore rumoroso in funzione di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presenta anch'esso un massimo, a un valore diverso da quello della fedeltà di Trotter (più gate a parità di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per via dei blocchi controllati aggiuntivi):</w:t>
      </w:r>
    </w:p>
    <w:p>
      <w:pPr>
        <w:spacing w:after="80"/>
        <w:jc w:val="center"/>
      </w:pPr>
      <w:r>
        <w:drawing>
          <wp:inline distT="0" distB="0" distL="0" distR="0">
            <wp:extent cx="3800000" cy="249940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000" cy="249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9"/>
          <w:szCs w:val="19"/>
        </w:rPr>
        <w:t xml:space="preserve">Modulo del correlatore rumoroso, correlatore di riferimento C₂₁ˣˣ(t=2,N). Massimo a N*=5, |C(N*)|=0.250002.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Il conteggio dei gate cresce linearmente con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(3 CNOT aggiuntivi per unità di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il contributo di un passo di Trotter):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type="dxa" w:w="15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8E8E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15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8E8E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5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8E8E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5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8E8E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5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8E8E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5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8E8E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15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CNOT</w:t>
            </w:r>
          </w:p>
        </w:tc>
        <w:tc>
          <w:tcPr>
            <w:tcW w:type="dxa" w:w="15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5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5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15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34</w:t>
            </w:r>
          </w:p>
        </w:tc>
        <w:tc>
          <w:tcPr>
            <w:tcW w:type="dxa" w:w="15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64</w:t>
            </w:r>
          </w:p>
        </w:tc>
      </w:tr>
    </w:tbl>
    <w:p>
      <w:pPr>
        <w:spacing w:after="2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 formula di correzione analitica è stata confrontata con una simulazione Monte Carlo indipendente (readout vero, 2×10⁵ shot):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⟨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Z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⟩ = 0.044089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(analitico) contro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0.046550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(Monte Carlo), scostamento 2.46×10⁻³, compatibile con l'errore statistico atteso.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Scan sui parametri di rumore.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Ripetendo la ricerca di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* al variare dei parametri del canale,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* decresce in modo monotono al crescere del rumore di gate 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ε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  <w:vertAlign w:val="subscript"/>
        </w:rPr>
        <w:t xml:space="preserve">1q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ε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  <w:vertAlign w:val="subscript"/>
        </w:rPr>
        <w:t xml:space="preserve">2q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), fino a saturare a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*=1 oltre una certa soglia:</w:t>
      </w:r>
    </w:p>
    <w:p>
      <w:pPr>
        <w:spacing w:after="80"/>
        <w:jc w:val="center"/>
      </w:pPr>
      <w:r>
        <w:drawing>
          <wp:inline distT="0" distB="0" distL="0" distR="0">
            <wp:extent cx="5900000" cy="234514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0000" cy="2345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9"/>
          <w:szCs w:val="19"/>
        </w:rPr>
        <w:t xml:space="preserve">N* in funzione di ε2q (sinistra) e ε1q (destra), scala log, l'altro parametro fissato al riferimento. Monotonia non-crescente confermata in entrambi i casi.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Rispetto all'errore di lettura, invece,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* resta invariato per ogni valore di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  <w:vertAlign w:val="subscript"/>
        </w:rPr>
        <w:t xml:space="preserve">readout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testato (dallo 0% al 20%, un intervallo molto più ampio del valore di calibrazione reale 2.3%) — conseguenza diretta della correzione puramente moltiplicativa: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c>
          <w:tcPr>
            <w:tcW w:type="dxa" w:w="3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8E8E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p_readout</w:t>
            </w:r>
          </w:p>
        </w:tc>
        <w:tc>
          <w:tcPr>
            <w:tcW w:type="dxa" w:w="3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8E8E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N*</w:t>
            </w:r>
          </w:p>
        </w:tc>
        <w:tc>
          <w:tcPr>
            <w:tcW w:type="dxa" w:w="3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8E8E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F(N*)</w:t>
            </w:r>
          </w:p>
        </w:tc>
      </w:tr>
      <w:tr>
        <w:tc>
          <w:tcPr>
            <w:tcW w:type="dxa" w:w="3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0.00</w:t>
            </w:r>
          </w:p>
        </w:tc>
        <w:tc>
          <w:tcPr>
            <w:tcW w:type="dxa" w:w="3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0.2621</w:t>
            </w:r>
          </w:p>
        </w:tc>
      </w:tr>
      <w:tr>
        <w:tc>
          <w:tcPr>
            <w:tcW w:type="dxa" w:w="3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0.05</w:t>
            </w:r>
          </w:p>
        </w:tc>
        <w:tc>
          <w:tcPr>
            <w:tcW w:type="dxa" w:w="3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0.2359</w:t>
            </w:r>
          </w:p>
        </w:tc>
      </w:tr>
      <w:tr>
        <w:tc>
          <w:tcPr>
            <w:tcW w:type="dxa" w:w="3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0.20</w:t>
            </w:r>
          </w:p>
        </w:tc>
        <w:tc>
          <w:tcPr>
            <w:tcW w:type="dxa" w:w="3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0.1572</w:t>
            </w:r>
          </w:p>
        </w:tc>
      </w:tr>
    </w:tbl>
    <w:p>
      <w:pPr>
        <w:spacing w:after="2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Un modello ingenuo additivo per l'errore totale predice una pendenza log-log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*∝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ε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  <w:vertAlign w:val="subscript"/>
        </w:rPr>
        <w:t xml:space="preserve">2q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⁻¹ᐟ² (−0.5); i dati danno una pendenza osservata di −0.195 — non una contraddizione, ma il segno che l'osservabile è una fedeltà (comportamento più simile a un decadimento moltiplicativo) e non un errore additivo su una singola quantità.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Ottimizzare di nuovo il VQE sotto rumore.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Anziché riusare i parametri ottimizzati nel caso ideale, si può ottimizzare di nuovo l'ansatz con il rumore acceso durante l'ottimizzazione stessa — come avverrebbe su un hardware reale, dove non esiste una versione ideale a cui accedere. Confrontando le due strategie su due metriche (fedeltà di Trotter, modulo del correlatore) e due punti di lavoro fisici: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600"/>
        <w:gridCol w:w="2600"/>
      </w:tblGrid>
      <w:tr>
        <w:tc>
          <w:tcPr>
            <w:tcW w:type="dxa" w:w="3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8E8E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quantità</w:t>
            </w:r>
          </w:p>
        </w:tc>
        <w:tc>
          <w:tcPr>
            <w:tcW w:type="dxa" w:w="26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8E8E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test 2</w:t>
            </w:r>
          </w:p>
        </w:tc>
        <w:tc>
          <w:tcPr>
            <w:tcW w:type="dxa" w:w="26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8E8E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secondo punto</w:t>
            </w:r>
          </w:p>
        </w:tc>
      </w:tr>
      <w:tr>
        <w:tc>
          <w:tcPr>
            <w:tcW w:type="dxa" w:w="3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Δ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(ottimizzato di nuovo − riuso ideale)</w:t>
            </w:r>
          </w:p>
        </w:tc>
        <w:tc>
          <w:tcPr>
            <w:tcW w:type="dxa" w:w="26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−1.16×10⁻⁷</w:t>
            </w:r>
          </w:p>
        </w:tc>
        <w:tc>
          <w:tcPr>
            <w:tcW w:type="dxa" w:w="26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−2.56×10⁻⁸</w:t>
            </w:r>
          </w:p>
        </w:tc>
      </w:tr>
      <w:tr>
        <w:tc>
          <w:tcPr>
            <w:tcW w:type="dxa" w:w="3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Δ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F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(ottimizzato di nuovo − riuso ideale)</w:t>
            </w:r>
          </w:p>
        </w:tc>
        <w:tc>
          <w:tcPr>
            <w:tcW w:type="dxa" w:w="26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+1.76×10⁻⁸</w:t>
            </w:r>
          </w:p>
        </w:tc>
        <w:tc>
          <w:tcPr>
            <w:tcW w:type="dxa" w:w="26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+3.96×10⁻⁹</w:t>
            </w:r>
          </w:p>
        </w:tc>
      </w:tr>
      <w:tr>
        <w:tc>
          <w:tcPr>
            <w:tcW w:type="dxa" w:w="3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* Trotter (ideale→nuovo)</w:t>
            </w:r>
          </w:p>
        </w:tc>
        <w:tc>
          <w:tcPr>
            <w:tcW w:type="dxa" w:w="26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8→8</w:t>
            </w:r>
          </w:p>
        </w:tc>
        <w:tc>
          <w:tcPr>
            <w:tcW w:type="dxa" w:w="26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8→8</w:t>
            </w:r>
          </w:p>
        </w:tc>
      </w:tr>
      <w:tr>
        <w:tc>
          <w:tcPr>
            <w:tcW w:type="dxa" w:w="3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* correlatore (ideale→nuovo)</w:t>
            </w:r>
          </w:p>
        </w:tc>
        <w:tc>
          <w:tcPr>
            <w:tcW w:type="dxa" w:w="26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5→5</w:t>
            </w:r>
          </w:p>
        </w:tc>
        <w:tc>
          <w:tcPr>
            <w:tcW w:type="dxa" w:w="26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3→3</w:t>
            </w:r>
          </w:p>
        </w:tc>
      </w:tr>
    </w:tbl>
    <w:p>
      <w:pPr>
        <w:spacing w:after="2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Gli scostamenti sono sei-sette ordini di grandezza più piccoli della scala fisica del problema (perdita di fedeltà ∼1.5% a rumore acceso): ottimizzare di nuovo sotto rumore non porta alcun vantaggio misurabile, in nessuno dei due punti di lavoro. La posizione di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* cambia da un punto di lavoro all'altro (proprietà della fisica del punto), ma non fra le due strategie di ottimizzazione:</w:t>
      </w:r>
    </w:p>
    <w:p>
      <w:pPr>
        <w:spacing w:after="80"/>
        <w:jc w:val="center"/>
      </w:pPr>
      <w:r>
        <w:drawing>
          <wp:inline distT="0" distB="0" distL="0" distR="0">
            <wp:extent cx="5900000" cy="229208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0000" cy="2292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9"/>
          <w:szCs w:val="19"/>
        </w:rPr>
        <w:t xml:space="preserve">Modulo del correlatore rumoroso, le due strategie di ottimizzazione a confronto (test 2): massimo a N*=5 in entrambi i casi, curve sovrapposte.</w:t>
      </w:r>
    </w:p>
    <w:p>
      <w:pPr>
        <w:spacing w:after="80"/>
        <w:jc w:val="center"/>
      </w:pPr>
      <w:r>
        <w:drawing>
          <wp:inline distT="0" distB="0" distL="0" distR="0">
            <wp:extent cx="5900000" cy="229208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0000" cy="2292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9"/>
          <w:szCs w:val="19"/>
        </w:rPr>
        <w:t xml:space="preserve">Secondo punto di lavoro (b/J=−0.18, D/J=1). Sinistra: fedeltà di Trotter, N*=8. Destra: modulo del correlatore, N*=3 — diverso dal punto “test 2” ma comunque invariato fra le due strategie di ottimizzazione.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Lo stesso confronto, ripetuto su tutta la griglia dello scan sui parametri di rumore (25 combinazioni fra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ε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  <w:vertAlign w:val="subscript"/>
        </w:rPr>
        <w:t xml:space="preserve">1q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ε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  <w:vertAlign w:val="subscript"/>
        </w:rPr>
        <w:t xml:space="preserve">2q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  <w:vertAlign w:val="subscript"/>
        </w:rPr>
        <w:t xml:space="preserve">readout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), dà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* invariato in tutti i 25 punti testati:</w:t>
      </w:r>
    </w:p>
    <w:p>
      <w:pPr>
        <w:spacing w:after="80"/>
        <w:jc w:val="center"/>
      </w:pPr>
      <w:r>
        <w:drawing>
          <wp:inline distT="0" distB="0" distL="0" distR="0">
            <wp:extent cx="5900000" cy="234514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0000" cy="2345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9"/>
          <w:szCs w:val="19"/>
        </w:rPr>
        <w:t xml:space="preserve">N* in funzione di ε2q, riuso ideale contro ottimizzazione ripetuta, su tutta la griglia dello scan sui parametri di rumore. Le due curve sono sovrapposte in ogni punto.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Errore di lettura asimmetrico.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Per una matrice di confusione asimmetrica 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  <w:vertAlign w:val="subscript"/>
        </w:rPr>
        <w:t xml:space="preserve">01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≠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  <w:vertAlign w:val="subscript"/>
        </w:rPr>
        <w:t xml:space="preserve">10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), la correzione generalizza a una trasformazione affine: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⟨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Z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⟩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  <w:vertAlign w:val="subscript"/>
        </w:rPr>
        <w:t xml:space="preserve">readout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=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α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⟨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Z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⟩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  <w:vertAlign w:val="subscript"/>
        </w:rPr>
        <w:t xml:space="preserve">ideale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+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β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, 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α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=1−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  <w:vertAlign w:val="subscript"/>
        </w:rPr>
        <w:t xml:space="preserve">01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−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  <w:vertAlign w:val="subscript"/>
        </w:rPr>
        <w:t xml:space="preserve">10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, 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β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=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  <w:vertAlign w:val="subscript"/>
        </w:rPr>
        <w:t xml:space="preserve">10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−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  <w:vertAlign w:val="subscript"/>
        </w:rPr>
        <w:t xml:space="preserve">01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 differenza del caso simmetrico, qui l'offset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β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trasla il correlatore nel piano complesso prima del modulo: l'invarianza di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* non è più garantita a priori. Valori reali pubblicati per chip IBM comparabili (nessuno split reale disponibile per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ibm_torino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specificamente):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200"/>
      </w:tblGrid>
      <w:tr>
        <w:tc>
          <w:tcPr>
            <w:tcW w:type="dxa" w:w="2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8E8E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fonte</w:t>
            </w:r>
          </w:p>
        </w:tc>
        <w:tc>
          <w:tcPr>
            <w:tcW w:type="dxa" w:w="2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8E8E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chip</w:t>
            </w:r>
          </w:p>
        </w:tc>
        <w:tc>
          <w:tcPr>
            <w:tcW w:type="dxa" w:w="2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8E8E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p01</w:t>
            </w:r>
          </w:p>
        </w:tc>
        <w:tc>
          <w:tcPr>
            <w:tcW w:type="dxa" w:w="2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8E8E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p10 (rapporto)</w:t>
            </w:r>
          </w:p>
        </w:tc>
      </w:tr>
      <w:tr>
        <w:tc>
          <w:tcPr>
            <w:tcW w:type="dxa" w:w="2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arXiv:2203.14756</w:t>
            </w:r>
          </w:p>
        </w:tc>
        <w:tc>
          <w:tcPr>
            <w:tcW w:type="dxa" w:w="2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IBM-Quito</w:t>
            </w:r>
          </w:p>
        </w:tc>
        <w:tc>
          <w:tcPr>
            <w:tcW w:type="dxa" w:w="2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0.0132</w:t>
            </w:r>
          </w:p>
        </w:tc>
        <w:tc>
          <w:tcPr>
            <w:tcW w:type="dxa" w:w="2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0.0468 (3.5×)</w:t>
            </w:r>
          </w:p>
        </w:tc>
      </w:tr>
      <w:tr>
        <w:tc>
          <w:tcPr>
            <w:tcW w:type="dxa" w:w="2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documentazione IBM</w:t>
            </w:r>
          </w:p>
        </w:tc>
        <w:tc>
          <w:tcPr>
            <w:tcW w:type="dxa" w:w="2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esempio</w:t>
            </w:r>
          </w:p>
        </w:tc>
        <w:tc>
          <w:tcPr>
            <w:tcW w:type="dxa" w:w="2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0.0295</w:t>
            </w:r>
          </w:p>
        </w:tc>
        <w:tc>
          <w:tcPr>
            <w:tcW w:type="dxa" w:w="2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0.0908 (3.1×)</w:t>
            </w:r>
          </w:p>
        </w:tc>
      </w:tr>
      <w:tr>
        <w:tc>
          <w:tcPr>
            <w:tcW w:type="dxa" w:w="2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arXiv:2504.12575</w:t>
            </w:r>
          </w:p>
        </w:tc>
        <w:tc>
          <w:tcPr>
            <w:tcW w:type="dxa" w:w="2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ibmq_montreal</w:t>
            </w:r>
          </w:p>
        </w:tc>
        <w:tc>
          <w:tcPr>
            <w:tcW w:type="dxa" w:w="2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0.008</w:t>
            </w:r>
          </w:p>
        </w:tc>
        <w:tc>
          <w:tcPr>
            <w:tcW w:type="dxa" w:w="2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0.016 (2.0×)</w:t>
            </w:r>
          </w:p>
        </w:tc>
      </w:tr>
    </w:tbl>
    <w:p>
      <w:pPr>
        <w:spacing w:after="2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Con uno split illustrativo (rapporto 3×, stessa media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  <w:vertAlign w:val="subscript"/>
        </w:rPr>
        <w:t xml:space="preserve">readout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=2.3×10⁻² già usata: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  <w:vertAlign w:val="subscript"/>
        </w:rPr>
        <w:t xml:space="preserve">01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=0.0115,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  <w:vertAlign w:val="subscript"/>
        </w:rPr>
        <w:t xml:space="preserve">10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=0.0345),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*=5 resta invariato — verificato, non garantito dalla teoria — e resta invariato fino a rapporti 50×, ben oltre il range realistico:</w:t>
      </w:r>
    </w:p>
    <w:p>
      <w:pPr>
        <w:spacing w:after="80"/>
        <w:jc w:val="center"/>
      </w:pPr>
      <w:r>
        <w:drawing>
          <wp:inline distT="0" distB="0" distL="0" distR="0">
            <wp:extent cx="3800000" cy="2517791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000" cy="2517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9"/>
          <w:szCs w:val="19"/>
        </w:rPr>
        <w:t xml:space="preserve">Modulo del correlatore, readout simmetrico contro asimmetrico (rapporto 3×). Massimo a N*=5 in entrambi i casi; lo split asimmetrico alza sistematicamente |C(N)| per N≳3.</w:t>
      </w:r>
    </w:p>
    <w:p>
      <w:pPr>
        <w:spacing w:after="80"/>
        <w:jc w:val="center"/>
      </w:pPr>
      <w:r>
        <w:drawing>
          <wp:inline distT="0" distB="0" distL="0" distR="0">
            <wp:extent cx="3600000" cy="2423529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23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9"/>
          <w:szCs w:val="19"/>
        </w:rPr>
        <w:t xml:space="preserve">N* in funzione del rapporto p10:p01 (scala log), a media fissa. La linea resta piatta a N*=5 per quattro ordini di grandezza di rapporto.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Conclusioni.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Il rumore degrada in modo prevedibile e quantificabile ogni stadio della pipeline (energia e fedeltà del VQE, compromesso Trotter/rumore, correlatori dinamici), con un compromesso ottimale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* che dipende dal circuito specifico e dal punto di lavoro fisico, ma non dalla scelta se ottimizzare i parametri variazionali con il rumore acceso oppure riusare quelli ideali — questo secondo risultato è stato verificato su due metriche, due punti di lavoro e un'intera griglia di parametri di rumore, non su un singolo controllo. L'errore di lettura si comporta come un fattore puramente moltiplicativo quando è simmetrico (da cui l'invarianza di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* rispetto a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  <w:vertAlign w:val="subscript"/>
        </w:rPr>
        <w:t xml:space="preserve">readout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), una proprietà che non è più garantita a priori quando il readout è asimmetrico, pur risultando verificata numericamente anche in quel caso per il problema qui considerato.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f587e574122f73aeb3627cc59b4aeaeb7a2341e.png"/><Relationship Id="rId8" Type="http://schemas.openxmlformats.org/officeDocument/2006/relationships/image" Target="media/a8f94dda364fac33b6391de4e1325aeab88c50ce.png"/><Relationship Id="rId9" Type="http://schemas.openxmlformats.org/officeDocument/2006/relationships/image" Target="media/5fbaa30eb4b6927cfd01338d7aaeb782cafdb032.png"/><Relationship Id="rId10" Type="http://schemas.openxmlformats.org/officeDocument/2006/relationships/image" Target="media/ed2a170dee4597558b4c0793fafc103e6ed1d5b7.png"/><Relationship Id="rId11" Type="http://schemas.openxmlformats.org/officeDocument/2006/relationships/image" Target="media/75ba16c80a8f37cba23faf42643aa7743f05ee0f.png"/><Relationship Id="rId12" Type="http://schemas.openxmlformats.org/officeDocument/2006/relationships/image" Target="media/253ad1a839ee302cf5ab39dc2c6ceff69734c55c.png"/><Relationship Id="rId13" Type="http://schemas.openxmlformats.org/officeDocument/2006/relationships/image" Target="media/58861c0eee2dbae2c5087134a951a5064743c8b3.png"/><Relationship Id="rId14" Type="http://schemas.openxmlformats.org/officeDocument/2006/relationships/image" Target="media/b91fbfe5b628ee3bb2b4f289f4d7d73cf3235aa6.png"/><Relationship Id="rId15" Type="http://schemas.openxmlformats.org/officeDocument/2006/relationships/image" Target="media/05b6c57a206bcf9d873cfc8ee7c49a2d7f580cfd.png"/><Relationship Id="rId16" Type="http://schemas.openxmlformats.org/officeDocument/2006/relationships/image" Target="media/587553b5e5cc8a141e6e87933935056d11f95cd4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2026-09-06T13:59:20.034Z</dcterms:created>
  <dcterms:modified xsi:type="dcterms:W3CDTF">2026-09-06T13:59:20.034Z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