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>
          <w:sz w:val="38"/>
          <w:szCs w:val="38"/>
        </w:rPr>
      </w:pPr>
      <w:bookmarkStart w:colFirst="0" w:colLast="0" w:name="_3znndqv8ded" w:id="0"/>
      <w:bookmarkEnd w:id="0"/>
      <w:r w:rsidDel="00000000" w:rsidR="00000000" w:rsidRPr="00000000">
        <w:rPr>
          <w:sz w:val="38"/>
          <w:szCs w:val="38"/>
          <w:rtl w:val="0"/>
        </w:rPr>
        <w:t xml:space="preserve">Profitability ratios</w:t>
      </w:r>
    </w:p>
    <w:tbl>
      <w:tblPr>
        <w:tblStyle w:val="Table1"/>
        <w:tblW w:w="15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0"/>
        <w:gridCol w:w="2685"/>
        <w:gridCol w:w="3330"/>
        <w:gridCol w:w="2670"/>
        <w:gridCol w:w="2550"/>
        <w:gridCol w:w="2565"/>
        <w:tblGridChange w:id="0">
          <w:tblGrid>
            <w:gridCol w:w="1530"/>
            <w:gridCol w:w="2685"/>
            <w:gridCol w:w="3330"/>
            <w:gridCol w:w="2670"/>
            <w:gridCol w:w="2550"/>
            <w:gridCol w:w="256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Rough definition/Description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Formula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Good/Target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Acceptable/Contextual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Poor/Warning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Gross Profit Margin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(GPM)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The proportion of sales revenue remaining after deducting the Cost of Goods Sold (COGS). Measures direct efficiency and pricing power.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color w:val="1f1f1f"/>
                <w:sz w:val="20"/>
                <w:szCs w:val="20"/>
              </w:rPr>
            </w:pPr>
            <w:hyperlink r:id="rId6">
              <w:r w:rsidDel="00000000" w:rsidR="00000000" w:rsidRPr="00000000">
                <w:rPr>
                  <w:color w:val="1f1f1f"/>
                  <w:sz w:val="20"/>
                  <w:szCs w:val="20"/>
                </w:rPr>
                <w:drawing>
                  <wp:inline distB="19050" distT="19050" distL="19050" distR="19050">
                    <wp:extent cx="1371600" cy="317500"/>
                    <wp:effectExtent b="0" l="0" r="0" t="0"/>
                    <wp:docPr id="39" name="image41.png"/>
                    <a:graphic>
                      <a:graphicData uri="http://schemas.openxmlformats.org/drawingml/2006/picture">
                        <pic:pic>
                          <pic:nvPicPr>
                            <pic:cNvPr id="0" name="image41.png"/>
                            <pic:cNvPicPr preferRelativeResize="0"/>
                          </pic:nvPicPr>
                          <pic:blipFill>
                            <a:blip r:embed="rId7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371600" cy="3175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color w:val="1f1f1f"/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color w:val="1f1f1f"/>
                  <w:sz w:val="20"/>
                  <w:szCs w:val="20"/>
                </w:rPr>
                <w:drawing>
                  <wp:inline distB="19050" distT="19050" distL="19050" distR="19050">
                    <wp:extent cx="419100" cy="114300"/>
                    <wp:effectExtent b="0" l="0" r="0" t="0"/>
                    <wp:docPr id="3" name="image22.png"/>
                    <a:graphic>
                      <a:graphicData uri="http://schemas.openxmlformats.org/drawingml/2006/picture">
                        <pic:pic>
                          <pic:nvPicPr>
                            <pic:cNvPr id="0" name="image22.png"/>
                            <pic:cNvPicPr preferRelativeResize="0"/>
                          </pic:nvPicPr>
                          <pic:blipFill>
                            <a:blip r:embed="rId9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19100" cy="1143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(High margin suggests strong pricing power or very low input costs, e.g., luxury goods/software).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color w:val="1f1f1f"/>
                <w:sz w:val="20"/>
                <w:szCs w:val="20"/>
              </w:rPr>
            </w:pPr>
            <w:hyperlink r:id="rId10">
              <w:r w:rsidDel="00000000" w:rsidR="00000000" w:rsidRPr="00000000">
                <w:rPr>
                  <w:color w:val="1f1f1f"/>
                  <w:sz w:val="20"/>
                  <w:szCs w:val="20"/>
                </w:rPr>
                <w:drawing>
                  <wp:inline distB="19050" distT="19050" distL="19050" distR="19050">
                    <wp:extent cx="723900" cy="114300"/>
                    <wp:effectExtent b="0" l="0" r="0" t="0"/>
                    <wp:docPr id="36" name="image31.png"/>
                    <a:graphic>
                      <a:graphicData uri="http://schemas.openxmlformats.org/drawingml/2006/picture">
                        <pic:pic>
                          <pic:nvPicPr>
                            <pic:cNvPr id="0" name="image31.png"/>
                            <pic:cNvPicPr preferRelativeResize="0"/>
                          </pic:nvPicPr>
                          <pic:blipFill>
                            <a:blip r:embed="rId11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723900" cy="1143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(Common for manufacturing/retail where input costs are significant).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color w:val="1f1f1f"/>
                <w:sz w:val="20"/>
                <w:szCs w:val="20"/>
              </w:rPr>
            </w:pPr>
            <w:hyperlink r:id="rId12">
              <w:r w:rsidDel="00000000" w:rsidR="00000000" w:rsidRPr="00000000">
                <w:rPr>
                  <w:color w:val="1f1f1f"/>
                  <w:sz w:val="20"/>
                  <w:szCs w:val="20"/>
                </w:rPr>
                <w:drawing>
                  <wp:inline distB="19050" distT="19050" distL="19050" distR="19050">
                    <wp:extent cx="419100" cy="114300"/>
                    <wp:effectExtent b="0" l="0" r="0" t="0"/>
                    <wp:docPr id="11" name="image20.png"/>
                    <a:graphic>
                      <a:graphicData uri="http://schemas.openxmlformats.org/drawingml/2006/picture">
                        <pic:pic>
                          <pic:nvPicPr>
                            <pic:cNvPr id="0" name="image20.png"/>
                            <pic:cNvPicPr preferRelativeResize="0"/>
                          </pic:nvPicPr>
                          <pic:blipFill>
                            <a:blip r:embed="rId13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19100" cy="1143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(Low margin means severe price competition or rising COGS; very difficult to cover fixed costs).</w:t>
            </w:r>
          </w:p>
        </w:tc>
      </w:tr>
      <w:tr>
        <w:trPr>
          <w:cantSplit w:val="0"/>
          <w:trHeight w:val="767.4023437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Profit Margin (PM)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The proportion of sales revenue remaining after deducting all expenses (COGS and overheads). Measures overall operational efficiency and the final 'bottom line.'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color w:val="1f1f1f"/>
                <w:sz w:val="20"/>
                <w:szCs w:val="20"/>
              </w:rPr>
            </w:pPr>
            <w:hyperlink r:id="rId14">
              <w:r w:rsidDel="00000000" w:rsidR="00000000" w:rsidRPr="00000000">
                <w:rPr>
                  <w:color w:val="1f1f1f"/>
                  <w:sz w:val="20"/>
                  <w:szCs w:val="20"/>
                </w:rPr>
                <w:drawing>
                  <wp:inline distB="19050" distT="19050" distL="19050" distR="19050">
                    <wp:extent cx="1547813" cy="313141"/>
                    <wp:effectExtent b="0" l="0" r="0" t="0"/>
                    <wp:docPr id="1" name="image10.png"/>
                    <a:graphic>
                      <a:graphicData uri="http://schemas.openxmlformats.org/drawingml/2006/picture">
                        <pic:pic>
                          <pic:nvPicPr>
                            <pic:cNvPr id="0" name="image10.png"/>
                            <pic:cNvPicPr preferRelativeResize="0"/>
                          </pic:nvPicPr>
                          <pic:blipFill>
                            <a:blip r:embed="rId15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47813" cy="313141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color w:val="1f1f1f"/>
                <w:sz w:val="20"/>
                <w:szCs w:val="20"/>
              </w:rPr>
            </w:pPr>
            <w:hyperlink r:id="rId16">
              <w:r w:rsidDel="00000000" w:rsidR="00000000" w:rsidRPr="00000000">
                <w:rPr>
                  <w:color w:val="1f1f1f"/>
                  <w:sz w:val="20"/>
                  <w:szCs w:val="20"/>
                </w:rPr>
                <w:drawing>
                  <wp:inline distB="19050" distT="19050" distL="19050" distR="19050">
                    <wp:extent cx="419100" cy="114300"/>
                    <wp:effectExtent b="0" l="0" r="0" t="0"/>
                    <wp:docPr id="15" name="image17.png"/>
                    <a:graphic>
                      <a:graphicData uri="http://schemas.openxmlformats.org/drawingml/2006/picture">
                        <pic:pic>
                          <pic:nvPicPr>
                            <pic:cNvPr id="0" name="image17.png"/>
                            <pic:cNvPicPr preferRelativeResize="0"/>
                          </pic:nvPicPr>
                          <pic:blipFill>
                            <a:blip r:embed="rId17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19100" cy="1143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(Indicates high efficiency in managing both COGS and operating expenses, e.g., tech/high-value services).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color w:val="1f1f1f"/>
                <w:sz w:val="20"/>
                <w:szCs w:val="20"/>
              </w:rPr>
            </w:pPr>
            <w:hyperlink r:id="rId18">
              <w:r w:rsidDel="00000000" w:rsidR="00000000" w:rsidRPr="00000000">
                <w:rPr>
                  <w:color w:val="1f1f1f"/>
                  <w:sz w:val="20"/>
                  <w:szCs w:val="20"/>
                </w:rPr>
                <w:drawing>
                  <wp:inline distB="19050" distT="19050" distL="19050" distR="19050">
                    <wp:extent cx="647700" cy="114300"/>
                    <wp:effectExtent b="0" l="0" r="0" t="0"/>
                    <wp:docPr id="13" name="image16.png"/>
                    <a:graphic>
                      <a:graphicData uri="http://schemas.openxmlformats.org/drawingml/2006/picture">
                        <pic:pic>
                          <pic:nvPicPr>
                            <pic:cNvPr id="0" name="image16.png"/>
                            <pic:cNvPicPr preferRelativeResize="0"/>
                          </pic:nvPicPr>
                          <pic:blipFill>
                            <a:blip r:embed="rId19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647700" cy="1143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(A sustainable return, common across many stable industries).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color w:val="1f1f1f"/>
                <w:sz w:val="20"/>
                <w:szCs w:val="20"/>
              </w:rPr>
            </w:pPr>
            <w:hyperlink r:id="rId20">
              <w:r w:rsidDel="00000000" w:rsidR="00000000" w:rsidRPr="00000000">
                <w:rPr>
                  <w:color w:val="1f1f1f"/>
                  <w:sz w:val="20"/>
                  <w:szCs w:val="20"/>
                </w:rPr>
                <w:drawing>
                  <wp:inline distB="19050" distT="19050" distL="19050" distR="19050">
                    <wp:extent cx="342900" cy="114300"/>
                    <wp:effectExtent b="0" l="0" r="0" t="0"/>
                    <wp:docPr id="6" name="image4.png"/>
                    <a:graphic>
                      <a:graphicData uri="http://schemas.openxmlformats.org/drawingml/2006/picture">
                        <pic:pic>
                          <pic:nvPicPr>
                            <pic:cNvPr id="0" name="image4.png"/>
                            <pic:cNvPicPr preferRelativeResize="0"/>
                          </pic:nvPicPr>
                          <pic:blipFill>
                            <a:blip r:embed="rId21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42900" cy="1143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(Low returns; sensitive to minor cost changes and indicates potential overhead issues).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Return on Capital Employed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(ROCE)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color w:val="1f1f1f"/>
                <w:sz w:val="16"/>
                <w:szCs w:val="16"/>
                <w:rtl w:val="0"/>
              </w:rPr>
              <w:t xml:space="preserve">Measures the return generated by the total long-term capital invested in the business. It is the single most important measure of long-term efficiency for investors.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color w:val="1f1f1f"/>
                <w:sz w:val="20"/>
                <w:szCs w:val="20"/>
              </w:rPr>
            </w:pPr>
            <w:hyperlink r:id="rId22">
              <w:r w:rsidDel="00000000" w:rsidR="00000000" w:rsidRPr="00000000">
                <w:rPr>
                  <w:color w:val="1f1f1f"/>
                  <w:sz w:val="20"/>
                  <w:szCs w:val="20"/>
                </w:rPr>
                <w:drawing>
                  <wp:inline distB="19050" distT="19050" distL="19050" distR="19050">
                    <wp:extent cx="1524000" cy="190500"/>
                    <wp:effectExtent b="0" l="0" r="0" t="0"/>
                    <wp:docPr id="40" name="image44.png"/>
                    <a:graphic>
                      <a:graphicData uri="http://schemas.openxmlformats.org/drawingml/2006/picture">
                        <pic:pic>
                          <pic:nvPicPr>
                            <pic:cNvPr id="0" name="image44.png"/>
                            <pic:cNvPicPr preferRelativeResize="0"/>
                          </pic:nvPicPr>
                          <pic:blipFill>
                            <a:blip r:embed="rId23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24000" cy="1905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lineRule="auto"/>
              <w:rPr>
                <w:color w:val="1f1f1f"/>
                <w:sz w:val="20"/>
                <w:szCs w:val="20"/>
              </w:rPr>
            </w:pPr>
            <w:hyperlink r:id="rId24">
              <w:r w:rsidDel="00000000" w:rsidR="00000000" w:rsidRPr="00000000">
                <w:rPr>
                  <w:color w:val="1f1f1f"/>
                  <w:sz w:val="20"/>
                  <w:szCs w:val="20"/>
                </w:rPr>
                <w:drawing>
                  <wp:inline distB="19050" distT="19050" distL="19050" distR="19050">
                    <wp:extent cx="973931" cy="106635"/>
                    <wp:effectExtent b="0" l="0" r="0" t="0"/>
                    <wp:docPr id="20" name="image11.png"/>
                    <a:graphic>
                      <a:graphicData uri="http://schemas.openxmlformats.org/drawingml/2006/picture">
                        <pic:pic>
                          <pic:nvPicPr>
                            <pic:cNvPr id="0" name="image11.png"/>
                            <pic:cNvPicPr preferRelativeResize="0"/>
                          </pic:nvPicPr>
                          <pic:blipFill>
                            <a:blip r:embed="rId25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973931" cy="106635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</w:t>
            </w:r>
            <w:hyperlink r:id="rId26">
              <w:r w:rsidDel="00000000" w:rsidR="00000000" w:rsidRPr="00000000">
                <w:rPr>
                  <w:color w:val="1f1f1f"/>
                  <w:sz w:val="20"/>
                  <w:szCs w:val="20"/>
                </w:rPr>
                <w:drawing>
                  <wp:inline distB="19050" distT="19050" distL="19050" distR="19050">
                    <wp:extent cx="1745456" cy="136899"/>
                    <wp:effectExtent b="0" l="0" r="0" t="0"/>
                    <wp:docPr id="16" name="image7.png"/>
                    <a:graphic>
                      <a:graphicData uri="http://schemas.openxmlformats.org/drawingml/2006/picture">
                        <pic:pic>
                          <pic:nvPicPr>
                            <pic:cNvPr id="0" name="image7.png"/>
                            <pic:cNvPicPr preferRelativeResize="0"/>
                          </pic:nvPicPr>
                          <pic:blipFill>
                            <a:blip r:embed="rId27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45456" cy="136899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br w:type="textWrapping"/>
              <w:t xml:space="preserve">Or</w:t>
            </w:r>
          </w:p>
          <w:p w:rsidR="00000000" w:rsidDel="00000000" w:rsidP="00000000" w:rsidRDefault="00000000" w:rsidRPr="00000000" w14:paraId="00000018">
            <w:pPr>
              <w:rPr>
                <w:color w:val="1f1f1f"/>
                <w:sz w:val="20"/>
                <w:szCs w:val="20"/>
              </w:rPr>
            </w:pPr>
            <w:hyperlink r:id="rId28">
              <w:r w:rsidDel="00000000" w:rsidR="00000000" w:rsidRPr="00000000">
                <w:rPr>
                  <w:color w:val="1f1f1f"/>
                  <w:sz w:val="20"/>
                  <w:szCs w:val="20"/>
                </w:rPr>
                <w:drawing>
                  <wp:inline distB="19050" distT="19050" distL="19050" distR="19050">
                    <wp:extent cx="973931" cy="106635"/>
                    <wp:effectExtent b="0" l="0" r="0" t="0"/>
                    <wp:docPr id="37" name="image21.png"/>
                    <a:graphic>
                      <a:graphicData uri="http://schemas.openxmlformats.org/drawingml/2006/picture">
                        <pic:pic>
                          <pic:nvPicPr>
                            <pic:cNvPr id="0" name="image21.png"/>
                            <pic:cNvPicPr preferRelativeResize="0"/>
                          </pic:nvPicPr>
                          <pic:blipFill>
                            <a:blip r:embed="rId25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973931" cy="106635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9">
            <w:pPr>
              <w:rPr>
                <w:color w:val="1f1f1f"/>
                <w:sz w:val="20"/>
                <w:szCs w:val="20"/>
              </w:rPr>
            </w:pPr>
            <w:hyperlink r:id="rId29">
              <w:r w:rsidDel="00000000" w:rsidR="00000000" w:rsidRPr="00000000">
                <w:rPr>
                  <w:color w:val="1f1f1f"/>
                  <w:sz w:val="20"/>
                  <w:szCs w:val="20"/>
                </w:rPr>
                <w:drawing>
                  <wp:inline distB="19050" distT="19050" distL="19050" distR="19050">
                    <wp:extent cx="1785938" cy="95250"/>
                    <wp:effectExtent b="0" l="0" r="0" t="0"/>
                    <wp:docPr id="30" name="image30.png"/>
                    <a:graphic>
                      <a:graphicData uri="http://schemas.openxmlformats.org/drawingml/2006/picture">
                        <pic:pic>
                          <pic:nvPicPr>
                            <pic:cNvPr id="0" name="image30.png"/>
                            <pic:cNvPicPr preferRelativeResize="0"/>
                          </pic:nvPicPr>
                          <pic:blipFill>
                            <a:blip r:embed="rId30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85938" cy="9525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ROCE should exceed the firm’s cost of capital.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ROCE similar to industry average or marginally above cost of capital.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ROCE below the firm’s cost of capital indicates inefficient use of capital.</w:t>
            </w:r>
          </w:p>
        </w:tc>
      </w:tr>
    </w:tbl>
    <w:p w:rsidR="00000000" w:rsidDel="00000000" w:rsidP="00000000" w:rsidRDefault="00000000" w:rsidRPr="00000000" w14:paraId="0000001D">
      <w:pPr>
        <w:pStyle w:val="Heading1"/>
        <w:spacing w:after="0" w:lineRule="auto"/>
        <w:rPr>
          <w:sz w:val="38"/>
          <w:szCs w:val="38"/>
        </w:rPr>
      </w:pPr>
      <w:bookmarkStart w:colFirst="0" w:colLast="0" w:name="_sud7uv6e2kmt" w:id="1"/>
      <w:bookmarkEnd w:id="1"/>
      <w:r w:rsidDel="00000000" w:rsidR="00000000" w:rsidRPr="00000000">
        <w:rPr>
          <w:sz w:val="38"/>
          <w:szCs w:val="38"/>
          <w:rtl w:val="0"/>
        </w:rPr>
        <w:t xml:space="preserve">Liquidity and efficiency ratios</w:t>
      </w:r>
    </w:p>
    <w:tbl>
      <w:tblPr>
        <w:tblStyle w:val="Table2"/>
        <w:tblW w:w="15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0"/>
        <w:gridCol w:w="2790"/>
        <w:gridCol w:w="3300"/>
        <w:gridCol w:w="2715"/>
        <w:gridCol w:w="2595"/>
        <w:gridCol w:w="2550"/>
        <w:tblGridChange w:id="0">
          <w:tblGrid>
            <w:gridCol w:w="1410"/>
            <w:gridCol w:w="2790"/>
            <w:gridCol w:w="3300"/>
            <w:gridCol w:w="2715"/>
            <w:gridCol w:w="2595"/>
            <w:gridCol w:w="255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Definition/Description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Formula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Good/Target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Acceptable/Contextual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Poor/Warning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Current 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Measures a firm's ability to cover its short-term debts using its short-term assets.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color w:val="1f1f1f"/>
                <w:sz w:val="20"/>
                <w:szCs w:val="20"/>
              </w:rPr>
            </w:pPr>
            <w:hyperlink r:id="rId31">
              <w:r w:rsidDel="00000000" w:rsidR="00000000" w:rsidRPr="00000000">
                <w:rPr>
                  <w:color w:val="1f1f1f"/>
                  <w:sz w:val="20"/>
                  <w:szCs w:val="20"/>
                </w:rPr>
                <w:drawing>
                  <wp:inline distB="19050" distT="19050" distL="19050" distR="19050">
                    <wp:extent cx="1219200" cy="317500"/>
                    <wp:effectExtent b="0" l="0" r="0" t="0"/>
                    <wp:docPr id="31" name="image40.png"/>
                    <a:graphic>
                      <a:graphicData uri="http://schemas.openxmlformats.org/drawingml/2006/picture">
                        <pic:pic>
                          <pic:nvPicPr>
                            <pic:cNvPr id="0" name="image40.png"/>
                            <pic:cNvPicPr preferRelativeResize="0"/>
                          </pic:nvPicPr>
                          <pic:blipFill>
                            <a:blip r:embed="rId32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219200" cy="3175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color w:val="1f1f1f"/>
                <w:sz w:val="20"/>
                <w:szCs w:val="20"/>
              </w:rPr>
            </w:pPr>
            <w:hyperlink r:id="rId33">
              <w:r w:rsidDel="00000000" w:rsidR="00000000" w:rsidRPr="00000000">
                <w:rPr>
                  <w:color w:val="1f1f1f"/>
                  <w:sz w:val="20"/>
                  <w:szCs w:val="20"/>
                </w:rPr>
                <w:drawing>
                  <wp:inline distB="19050" distT="19050" distL="19050" distR="19050">
                    <wp:extent cx="381000" cy="101600"/>
                    <wp:effectExtent b="0" l="0" r="0" t="0"/>
                    <wp:docPr id="42" name="image37.png"/>
                    <a:graphic>
                      <a:graphicData uri="http://schemas.openxmlformats.org/drawingml/2006/picture">
                        <pic:pic>
                          <pic:nvPicPr>
                            <pic:cNvPr id="0" name="image37.png"/>
                            <pic:cNvPicPr preferRelativeResize="0"/>
                          </pic:nvPicPr>
                          <pic:blipFill>
                            <a:blip r:embed="rId34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810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to </w:t>
            </w:r>
            <w:hyperlink r:id="rId35">
              <w:r w:rsidDel="00000000" w:rsidR="00000000" w:rsidRPr="00000000">
                <w:rPr>
                  <w:color w:val="1f1f1f"/>
                  <w:sz w:val="20"/>
                  <w:szCs w:val="20"/>
                </w:rPr>
                <w:drawing>
                  <wp:inline distB="19050" distT="19050" distL="19050" distR="19050">
                    <wp:extent cx="381000" cy="101600"/>
                    <wp:effectExtent b="0" l="0" r="0" t="0"/>
                    <wp:docPr id="17" name="image3.png"/>
                    <a:graphic>
                      <a:graphicData uri="http://schemas.openxmlformats.org/drawingml/2006/picture">
                        <pic:pic>
                          <pic:nvPicPr>
                            <pic:cNvPr id="0" name="image3.png"/>
                            <pic:cNvPicPr preferRelativeResize="0"/>
                          </pic:nvPicPr>
                          <pic:blipFill>
                            <a:blip r:embed="rId36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810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(Optimal balance of safety and avoiding idle assets).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color w:val="1f1f1f"/>
                <w:sz w:val="20"/>
                <w:szCs w:val="20"/>
              </w:rPr>
            </w:pPr>
            <w:hyperlink r:id="rId37">
              <w:r w:rsidDel="00000000" w:rsidR="00000000" w:rsidRPr="00000000">
                <w:rPr>
                  <w:color w:val="1f1f1f"/>
                  <w:sz w:val="20"/>
                  <w:szCs w:val="20"/>
                </w:rPr>
                <w:drawing>
                  <wp:inline distB="19050" distT="19050" distL="19050" distR="19050">
                    <wp:extent cx="381000" cy="101600"/>
                    <wp:effectExtent b="0" l="0" r="0" t="0"/>
                    <wp:docPr id="12" name="image13.png"/>
                    <a:graphic>
                      <a:graphicData uri="http://schemas.openxmlformats.org/drawingml/2006/picture">
                        <pic:pic>
                          <pic:nvPicPr>
                            <pic:cNvPr id="0" name="image13.png"/>
                            <pic:cNvPicPr preferRelativeResize="0"/>
                          </pic:nvPicPr>
                          <pic:blipFill>
                            <a:blip r:embed="rId38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810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to </w:t>
            </w:r>
            <w:hyperlink r:id="rId39">
              <w:r w:rsidDel="00000000" w:rsidR="00000000" w:rsidRPr="00000000">
                <w:rPr>
                  <w:color w:val="1f1f1f"/>
                  <w:sz w:val="20"/>
                  <w:szCs w:val="20"/>
                </w:rPr>
                <w:drawing>
                  <wp:inline distB="19050" distT="19050" distL="19050" distR="19050">
                    <wp:extent cx="381000" cy="101600"/>
                    <wp:effectExtent b="0" l="0" r="0" t="0"/>
                    <wp:docPr id="33" name="image36.png"/>
                    <a:graphic>
                      <a:graphicData uri="http://schemas.openxmlformats.org/drawingml/2006/picture">
                        <pic:pic>
                          <pic:nvPicPr>
                            <pic:cNvPr id="0" name="image36.png"/>
                            <pic:cNvPicPr preferRelativeResize="0"/>
                          </pic:nvPicPr>
                          <pic:blipFill>
                            <a:blip r:embed="rId34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810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(Tight) </w:t>
            </w:r>
            <w:hyperlink r:id="rId40">
              <w:r w:rsidDel="00000000" w:rsidR="00000000" w:rsidRPr="00000000">
                <w:rPr>
                  <w:color w:val="1f1f1f"/>
                  <w:sz w:val="20"/>
                  <w:szCs w:val="20"/>
                </w:rPr>
                <w:drawing>
                  <wp:inline distB="19050" distT="19050" distL="19050" distR="19050">
                    <wp:extent cx="533400" cy="101600"/>
                    <wp:effectExtent b="0" l="0" r="0" t="0"/>
                    <wp:docPr id="43" name="image42.png"/>
                    <a:graphic>
                      <a:graphicData uri="http://schemas.openxmlformats.org/drawingml/2006/picture">
                        <pic:pic>
                          <pic:nvPicPr>
                            <pic:cNvPr id="0" name="image42.png"/>
                            <pic:cNvPicPr preferRelativeResize="0"/>
                          </pic:nvPicPr>
                          <pic:blipFill>
                            <a:blip r:embed="rId41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334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(Inefficient/too much idle cash/stock).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color w:val="1f1f1f"/>
                <w:sz w:val="20"/>
                <w:szCs w:val="20"/>
              </w:rPr>
            </w:pPr>
            <w:hyperlink r:id="rId42">
              <w:r w:rsidDel="00000000" w:rsidR="00000000" w:rsidRPr="00000000">
                <w:rPr>
                  <w:color w:val="1f1f1f"/>
                  <w:sz w:val="20"/>
                  <w:szCs w:val="20"/>
                </w:rPr>
                <w:drawing>
                  <wp:inline distB="19050" distT="19050" distL="19050" distR="19050">
                    <wp:extent cx="533400" cy="101600"/>
                    <wp:effectExtent b="0" l="0" r="0" t="0"/>
                    <wp:docPr id="18" name="image14.png"/>
                    <a:graphic>
                      <a:graphicData uri="http://schemas.openxmlformats.org/drawingml/2006/picture">
                        <pic:pic>
                          <pic:nvPicPr>
                            <pic:cNvPr id="0" name="image14.png"/>
                            <pic:cNvPicPr preferRelativeResize="0"/>
                          </pic:nvPicPr>
                          <pic:blipFill>
                            <a:blip r:embed="rId43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334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(High illiquidity risk; current assets don't cover current liabilities).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Acid Test (Quick) 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A stricter measure of liquidity; it excludes stock (inventory) from current assets, as inventory may be difficult to sell quickly.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color w:val="1f1f1f"/>
                <w:sz w:val="20"/>
                <w:szCs w:val="20"/>
              </w:rPr>
            </w:pPr>
            <w:hyperlink r:id="rId44">
              <w:r w:rsidDel="00000000" w:rsidR="00000000" w:rsidRPr="00000000">
                <w:rPr>
                  <w:color w:val="1f1f1f"/>
                  <w:sz w:val="20"/>
                  <w:szCs w:val="20"/>
                </w:rPr>
                <w:drawing>
                  <wp:inline distB="19050" distT="19050" distL="19050" distR="19050">
                    <wp:extent cx="1562100" cy="317500"/>
                    <wp:effectExtent b="0" l="0" r="0" t="0"/>
                    <wp:docPr id="44" name="image39.png"/>
                    <a:graphic>
                      <a:graphicData uri="http://schemas.openxmlformats.org/drawingml/2006/picture">
                        <pic:pic>
                          <pic:nvPicPr>
                            <pic:cNvPr id="0" name="image39.png"/>
                            <pic:cNvPicPr preferRelativeResize="0"/>
                          </pic:nvPicPr>
                          <pic:blipFill>
                            <a:blip r:embed="rId45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62100" cy="3175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color w:val="1f1f1f"/>
                <w:sz w:val="20"/>
                <w:szCs w:val="20"/>
              </w:rPr>
            </w:pPr>
            <w:hyperlink r:id="rId46">
              <w:r w:rsidDel="00000000" w:rsidR="00000000" w:rsidRPr="00000000">
                <w:rPr>
                  <w:color w:val="1f1f1f"/>
                  <w:sz w:val="20"/>
                  <w:szCs w:val="20"/>
                </w:rPr>
                <w:drawing>
                  <wp:inline distB="19050" distT="19050" distL="19050" distR="19050">
                    <wp:extent cx="533400" cy="114300"/>
                    <wp:effectExtent b="0" l="0" r="0" t="0"/>
                    <wp:docPr id="27" name="image35.png"/>
                    <a:graphic>
                      <a:graphicData uri="http://schemas.openxmlformats.org/drawingml/2006/picture">
                        <pic:pic>
                          <pic:nvPicPr>
                            <pic:cNvPr id="0" name="image35.png"/>
                            <pic:cNvPicPr preferRelativeResize="0"/>
                          </pic:nvPicPr>
                          <pic:blipFill>
                            <a:blip r:embed="rId47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33400" cy="1143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(Ideal solvency; can pay immediate debts without selling inventory).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color w:val="1f1f1f"/>
                <w:sz w:val="20"/>
                <w:szCs w:val="20"/>
              </w:rPr>
            </w:pPr>
            <w:hyperlink r:id="rId48">
              <w:r w:rsidDel="00000000" w:rsidR="00000000" w:rsidRPr="00000000">
                <w:rPr>
                  <w:color w:val="1f1f1f"/>
                  <w:sz w:val="20"/>
                  <w:szCs w:val="20"/>
                </w:rPr>
                <w:drawing>
                  <wp:inline distB="19050" distT="19050" distL="19050" distR="19050">
                    <wp:extent cx="381000" cy="101600"/>
                    <wp:effectExtent b="0" l="0" r="0" t="0"/>
                    <wp:docPr id="23" name="image33.png"/>
                    <a:graphic>
                      <a:graphicData uri="http://schemas.openxmlformats.org/drawingml/2006/picture">
                        <pic:pic>
                          <pic:nvPicPr>
                            <pic:cNvPr id="0" name="image33.png"/>
                            <pic:cNvPicPr preferRelativeResize="0"/>
                          </pic:nvPicPr>
                          <pic:blipFill>
                            <a:blip r:embed="rId49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810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to </w:t>
            </w:r>
            <w:hyperlink r:id="rId50">
              <w:r w:rsidDel="00000000" w:rsidR="00000000" w:rsidRPr="00000000">
                <w:rPr>
                  <w:color w:val="1f1f1f"/>
                  <w:sz w:val="20"/>
                  <w:szCs w:val="20"/>
                </w:rPr>
                <w:drawing>
                  <wp:inline distB="19050" distT="19050" distL="19050" distR="19050">
                    <wp:extent cx="381000" cy="101600"/>
                    <wp:effectExtent b="0" l="0" r="0" t="0"/>
                    <wp:docPr id="29" name="image27.png"/>
                    <a:graphic>
                      <a:graphicData uri="http://schemas.openxmlformats.org/drawingml/2006/picture">
                        <pic:pic>
                          <pic:nvPicPr>
                            <pic:cNvPr id="0" name="image27.png"/>
                            <pic:cNvPicPr preferRelativeResize="0"/>
                          </pic:nvPicPr>
                          <pic:blipFill>
                            <a:blip r:embed="rId38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810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(Slight reliance on stock sales, but manageable).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color w:val="1f1f1f"/>
                <w:sz w:val="20"/>
                <w:szCs w:val="20"/>
              </w:rPr>
            </w:pPr>
            <w:hyperlink r:id="rId51">
              <w:r w:rsidDel="00000000" w:rsidR="00000000" w:rsidRPr="00000000">
                <w:rPr>
                  <w:color w:val="1f1f1f"/>
                  <w:sz w:val="20"/>
                  <w:szCs w:val="20"/>
                </w:rPr>
                <w:drawing>
                  <wp:inline distB="19050" distT="19050" distL="19050" distR="19050">
                    <wp:extent cx="533400" cy="101600"/>
                    <wp:effectExtent b="0" l="0" r="0" t="0"/>
                    <wp:docPr id="10" name="image5.png"/>
                    <a:graphic>
                      <a:graphicData uri="http://schemas.openxmlformats.org/drawingml/2006/picture">
                        <pic:pic>
                          <pic:nvPicPr>
                            <pic:cNvPr id="0" name="image5.png"/>
                            <pic:cNvPicPr preferRelativeResize="0"/>
                          </pic:nvPicPr>
                          <pic:blipFill>
                            <a:blip r:embed="rId52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334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(Dangerous insolvency risk).</w:t>
            </w:r>
          </w:p>
        </w:tc>
      </w:tr>
      <w:tr>
        <w:trPr>
          <w:cantSplit w:val="0"/>
          <w:trHeight w:val="171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Stock Turnover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(HL Only)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Measures the number of days a business sells and replaces its average level of stock. This formula calculates stock turnover in days.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Days: </w:t>
            </w:r>
            <w:hyperlink r:id="rId53">
              <w:r w:rsidDel="00000000" w:rsidR="00000000" w:rsidRPr="00000000">
                <w:rPr>
                  <w:color w:val="1f1f1f"/>
                  <w:sz w:val="20"/>
                  <w:szCs w:val="20"/>
                </w:rPr>
                <w:drawing>
                  <wp:inline distB="19050" distT="19050" distL="19050" distR="19050">
                    <wp:extent cx="1557338" cy="283934"/>
                    <wp:effectExtent b="0" l="0" r="0" t="0"/>
                    <wp:docPr id="7" name="image15.png"/>
                    <a:graphic>
                      <a:graphicData uri="http://schemas.openxmlformats.org/drawingml/2006/picture">
                        <pic:pic>
                          <pic:nvPicPr>
                            <pic:cNvPr id="0" name="image15.png"/>
                            <pic:cNvPicPr preferRelativeResize="0"/>
                          </pic:nvPicPr>
                          <pic:blipFill>
                            <a:blip r:embed="rId54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57338" cy="283934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Times per year: </w:t>
            </w:r>
            <w:hyperlink r:id="rId55">
              <w:r w:rsidDel="00000000" w:rsidR="00000000" w:rsidRPr="00000000">
                <w:rPr>
                  <w:color w:val="1f1f1f"/>
                  <w:sz w:val="20"/>
                  <w:szCs w:val="20"/>
                </w:rPr>
                <w:drawing>
                  <wp:inline distB="19050" distT="19050" distL="19050" distR="19050">
                    <wp:extent cx="952500" cy="342900"/>
                    <wp:effectExtent b="0" l="0" r="0" t="0"/>
                    <wp:docPr id="19" name="image8.png"/>
                    <a:graphic>
                      <a:graphicData uri="http://schemas.openxmlformats.org/drawingml/2006/picture">
                        <pic:pic>
                          <pic:nvPicPr>
                            <pic:cNvPr id="0" name="image8.png"/>
                            <pic:cNvPicPr preferRelativeResize="0"/>
                          </pic:nvPicPr>
                          <pic:blipFill>
                            <a:blip r:embed="rId56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952500" cy="3429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Low Days (e.g., </w:t>
            </w:r>
            <w:hyperlink r:id="rId57">
              <w:r w:rsidDel="00000000" w:rsidR="00000000" w:rsidRPr="00000000">
                <w:rPr>
                  <w:color w:val="1f1f1f"/>
                  <w:sz w:val="20"/>
                  <w:szCs w:val="20"/>
                </w:rPr>
                <w:drawing>
                  <wp:inline distB="19050" distT="19050" distL="19050" distR="19050">
                    <wp:extent cx="292100" cy="101600"/>
                    <wp:effectExtent b="0" l="0" r="0" t="0"/>
                    <wp:docPr id="35" name="image18.png"/>
                    <a:graphic>
                      <a:graphicData uri="http://schemas.openxmlformats.org/drawingml/2006/picture">
                        <pic:pic>
                          <pic:nvPicPr>
                            <pic:cNvPr id="0" name="image18.png"/>
                            <pic:cNvPicPr preferRelativeResize="0"/>
                          </pic:nvPicPr>
                          <pic:blipFill>
                            <a:blip r:embed="rId58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921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): Efficient, low obsolescence risk (supermarkets/perishables).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Contextual: Varies widely (jewellery/aerospace can have higher days).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High Days (e.g., </w:t>
            </w:r>
            <w:hyperlink r:id="rId59">
              <w:r w:rsidDel="00000000" w:rsidR="00000000" w:rsidRPr="00000000">
                <w:rPr>
                  <w:color w:val="1f1f1f"/>
                  <w:sz w:val="20"/>
                  <w:szCs w:val="20"/>
                </w:rPr>
                <w:drawing>
                  <wp:inline distB="19050" distT="19050" distL="19050" distR="19050">
                    <wp:extent cx="292100" cy="101600"/>
                    <wp:effectExtent b="0" l="0" r="0" t="0"/>
                    <wp:docPr id="9" name="image1.png"/>
                    <a:graphic>
                      <a:graphicData uri="http://schemas.openxmlformats.org/drawingml/2006/picture">
                        <pic:pic>
                          <pic:nvPicPr>
                            <pic:cNvPr id="0" name="image1.png"/>
                            <pic:cNvPicPr preferRelativeResize="0"/>
                          </pic:nvPicPr>
                          <pic:blipFill>
                            <a:blip r:embed="rId60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921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): Excess inventory, high storage costs, slow sales.</w:t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Debtor Days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(HL Only)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Measures the average time it takes for the business to collect payment from its credit customers.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color w:val="1f1f1f"/>
                <w:sz w:val="20"/>
                <w:szCs w:val="20"/>
              </w:rPr>
            </w:pPr>
            <w:hyperlink r:id="rId61">
              <w:r w:rsidDel="00000000" w:rsidR="00000000" w:rsidRPr="00000000">
                <w:rPr>
                  <w:color w:val="1f1f1f"/>
                  <w:sz w:val="20"/>
                  <w:szCs w:val="20"/>
                </w:rPr>
                <w:drawing>
                  <wp:inline distB="19050" distT="19050" distL="19050" distR="19050">
                    <wp:extent cx="1595438" cy="283453"/>
                    <wp:effectExtent b="0" l="0" r="0" t="0"/>
                    <wp:docPr id="26" name="image28.png"/>
                    <a:graphic>
                      <a:graphicData uri="http://schemas.openxmlformats.org/drawingml/2006/picture">
                        <pic:pic>
                          <pic:nvPicPr>
                            <pic:cNvPr id="0" name="image28.png"/>
                            <pic:cNvPicPr preferRelativeResize="0"/>
                          </pic:nvPicPr>
                          <pic:blipFill>
                            <a:blip r:embed="rId62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95438" cy="283453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Low (e.g., </w:t>
            </w:r>
            <w:hyperlink r:id="rId63">
              <w:r w:rsidDel="00000000" w:rsidR="00000000" w:rsidRPr="00000000">
                <w:rPr>
                  <w:color w:val="1f1f1f"/>
                  <w:sz w:val="20"/>
                  <w:szCs w:val="20"/>
                </w:rPr>
                <w:drawing>
                  <wp:inline distB="19050" distT="19050" distL="19050" distR="19050">
                    <wp:extent cx="292100" cy="101600"/>
                    <wp:effectExtent b="0" l="0" r="0" t="0"/>
                    <wp:docPr id="2" name="image9.png"/>
                    <a:graphic>
                      <a:graphicData uri="http://schemas.openxmlformats.org/drawingml/2006/picture">
                        <pic:pic>
                          <pic:nvPicPr>
                            <pic:cNvPr id="0" name="image9.png"/>
                            <pic:cNvPicPr preferRelativeResize="0"/>
                          </pic:nvPicPr>
                          <pic:blipFill>
                            <a:blip r:embed="rId58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921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days): Efficient credit control.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Close to official credit period.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High (e.g., </w:t>
            </w:r>
            <w:hyperlink r:id="rId64">
              <w:r w:rsidDel="00000000" w:rsidR="00000000" w:rsidRPr="00000000">
                <w:rPr>
                  <w:color w:val="1f1f1f"/>
                  <w:sz w:val="20"/>
                  <w:szCs w:val="20"/>
                </w:rPr>
                <w:drawing>
                  <wp:inline distB="19050" distT="19050" distL="19050" distR="19050">
                    <wp:extent cx="292100" cy="101600"/>
                    <wp:effectExtent b="0" l="0" r="0" t="0"/>
                    <wp:docPr id="4" name="image2.png"/>
                    <a:graphic>
                      <a:graphicData uri="http://schemas.openxmlformats.org/drawingml/2006/picture">
                        <pic:pic>
                          <pic:nvPicPr>
                            <pic:cNvPr id="0" name="image2.png"/>
                            <pic:cNvPicPr preferRelativeResize="0"/>
                          </pic:nvPicPr>
                          <pic:blipFill>
                            <a:blip r:embed="rId60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921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days): Poor cash flow, high risk of bad debts.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Creditor Days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(HL Only)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Measures the average time it takes for the business to pay its suppliers.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lineRule="auto"/>
              <w:rPr>
                <w:color w:val="1f1f1f"/>
                <w:sz w:val="20"/>
                <w:szCs w:val="20"/>
              </w:rPr>
            </w:pPr>
            <w:hyperlink r:id="rId65">
              <w:r w:rsidDel="00000000" w:rsidR="00000000" w:rsidRPr="00000000">
                <w:rPr>
                  <w:color w:val="1f1f1f"/>
                  <w:sz w:val="20"/>
                  <w:szCs w:val="20"/>
                </w:rPr>
                <w:drawing>
                  <wp:inline distB="19050" distT="19050" distL="19050" distR="19050">
                    <wp:extent cx="1614488" cy="300569"/>
                    <wp:effectExtent b="0" l="0" r="0" t="0"/>
                    <wp:docPr id="8" name="image6.png"/>
                    <a:graphic>
                      <a:graphicData uri="http://schemas.openxmlformats.org/drawingml/2006/picture">
                        <pic:pic>
                          <pic:nvPicPr>
                            <pic:cNvPr id="0" name="image6.png"/>
                            <pic:cNvPicPr preferRelativeResize="0"/>
                          </pic:nvPicPr>
                          <pic:blipFill>
                            <a:blip r:embed="rId66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614488" cy="300569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High (e.g., </w:t>
            </w:r>
            <w:hyperlink r:id="rId67">
              <w:r w:rsidDel="00000000" w:rsidR="00000000" w:rsidRPr="00000000">
                <w:rPr>
                  <w:color w:val="1f1f1f"/>
                  <w:sz w:val="20"/>
                  <w:szCs w:val="20"/>
                </w:rPr>
                <w:drawing>
                  <wp:inline distB="19050" distT="19050" distL="19050" distR="19050">
                    <wp:extent cx="292100" cy="101600"/>
                    <wp:effectExtent b="0" l="0" r="0" t="0"/>
                    <wp:docPr id="25" name="image24.png"/>
                    <a:graphic>
                      <a:graphicData uri="http://schemas.openxmlformats.org/drawingml/2006/picture">
                        <pic:pic>
                          <pic:nvPicPr>
                            <pic:cNvPr id="0" name="image24.png"/>
                            <pic:cNvPicPr preferRelativeResize="0"/>
                          </pic:nvPicPr>
                          <pic:blipFill>
                            <a:blip r:embed="rId68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921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days): Firm retains cash longer (good liquidity) </w:t>
            </w:r>
            <w:r w:rsidDel="00000000" w:rsidR="00000000" w:rsidRPr="00000000">
              <w:rPr>
                <w:i w:val="1"/>
                <w:iCs w:val="1"/>
                <w:color w:val="1f1f1f"/>
                <w:sz w:val="20"/>
                <w:szCs w:val="20"/>
                <w:rtl w:val="0"/>
              </w:rPr>
              <w:t xml:space="preserve">without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damaging relations.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Comparable to industry average.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Low (e.g., </w:t>
            </w:r>
            <w:hyperlink r:id="rId69">
              <w:r w:rsidDel="00000000" w:rsidR="00000000" w:rsidRPr="00000000">
                <w:rPr>
                  <w:color w:val="1f1f1f"/>
                  <w:sz w:val="20"/>
                  <w:szCs w:val="20"/>
                </w:rPr>
                <w:drawing>
                  <wp:inline distB="19050" distT="19050" distL="19050" distR="19050">
                    <wp:extent cx="292100" cy="101600"/>
                    <wp:effectExtent b="0" l="0" r="0" t="0"/>
                    <wp:docPr id="34" name="image23.png"/>
                    <a:graphic>
                      <a:graphicData uri="http://schemas.openxmlformats.org/drawingml/2006/picture">
                        <pic:pic>
                          <pic:nvPicPr>
                            <pic:cNvPr id="0" name="image23.png"/>
                            <pic:cNvPicPr preferRelativeResize="0"/>
                          </pic:nvPicPr>
                          <pic:blipFill>
                            <a:blip r:embed="rId58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921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days): Paying too quickly, unnecessarily strains cash flow.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Gearing Ratio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(HL Only)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Measures the proportion of a firm's long-term capital that is financed by debt (loan capital). Indicates financial risk.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color w:val="1f1f1f"/>
                <w:sz w:val="20"/>
                <w:szCs w:val="20"/>
              </w:rPr>
            </w:pPr>
            <w:hyperlink r:id="rId70">
              <w:r w:rsidDel="00000000" w:rsidR="00000000" w:rsidRPr="00000000">
                <w:rPr>
                  <w:color w:val="1f1f1f"/>
                  <w:sz w:val="20"/>
                  <w:szCs w:val="20"/>
                </w:rPr>
                <w:drawing>
                  <wp:inline distB="19050" distT="19050" distL="19050" distR="19050">
                    <wp:extent cx="1624013" cy="339910"/>
                    <wp:effectExtent b="0" l="0" r="0" t="0"/>
                    <wp:docPr id="14" name="image19.png"/>
                    <a:graphic>
                      <a:graphicData uri="http://schemas.openxmlformats.org/drawingml/2006/picture">
                        <pic:pic>
                          <pic:nvPicPr>
                            <pic:cNvPr id="0" name="image19.png"/>
                            <pic:cNvPicPr preferRelativeResize="0"/>
                          </pic:nvPicPr>
                          <pic:blipFill>
                            <a:blip r:embed="rId71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624013" cy="33991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color w:val="1f1f1f"/>
                <w:sz w:val="20"/>
                <w:szCs w:val="20"/>
              </w:rPr>
            </w:pPr>
            <w:hyperlink r:id="rId72">
              <w:r w:rsidDel="00000000" w:rsidR="00000000" w:rsidRPr="00000000">
                <w:rPr>
                  <w:color w:val="1f1f1f"/>
                  <w:sz w:val="20"/>
                  <w:szCs w:val="20"/>
                </w:rPr>
                <w:drawing>
                  <wp:inline distB="19050" distT="19050" distL="19050" distR="19050">
                    <wp:extent cx="419100" cy="114300"/>
                    <wp:effectExtent b="0" l="0" r="0" t="0"/>
                    <wp:docPr id="24" name="image29.png"/>
                    <a:graphic>
                      <a:graphicData uri="http://schemas.openxmlformats.org/drawingml/2006/picture">
                        <pic:pic>
                          <pic:nvPicPr>
                            <pic:cNvPr id="0" name="image29.png"/>
                            <pic:cNvPicPr preferRelativeResize="0"/>
                          </pic:nvPicPr>
                          <pic:blipFill>
                            <a:blip r:embed="rId73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19100" cy="1143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(Low risk, high capacity to borrow).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color w:val="1f1f1f"/>
                <w:sz w:val="20"/>
                <w:szCs w:val="20"/>
              </w:rPr>
            </w:pPr>
            <w:hyperlink r:id="rId74">
              <w:r w:rsidDel="00000000" w:rsidR="00000000" w:rsidRPr="00000000">
                <w:rPr>
                  <w:color w:val="1f1f1f"/>
                  <w:sz w:val="20"/>
                  <w:szCs w:val="20"/>
                </w:rPr>
                <w:drawing>
                  <wp:inline distB="19050" distT="19050" distL="19050" distR="19050">
                    <wp:extent cx="723900" cy="114300"/>
                    <wp:effectExtent b="0" l="0" r="0" t="0"/>
                    <wp:docPr id="41" name="image34.png"/>
                    <a:graphic>
                      <a:graphicData uri="http://schemas.openxmlformats.org/drawingml/2006/picture">
                        <pic:pic>
                          <pic:nvPicPr>
                            <pic:cNvPr id="0" name="image34.png"/>
                            <pic:cNvPicPr preferRelativeResize="0"/>
                          </pic:nvPicPr>
                          <pic:blipFill>
                            <a:blip r:embed="rId75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723900" cy="1143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(Moderate risk; common for capital-intensive or expansion firms).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color w:val="1f1f1f"/>
                <w:sz w:val="20"/>
                <w:szCs w:val="20"/>
              </w:rPr>
            </w:pPr>
            <w:hyperlink r:id="rId76">
              <w:r w:rsidDel="00000000" w:rsidR="00000000" w:rsidRPr="00000000">
                <w:rPr>
                  <w:color w:val="1f1f1f"/>
                  <w:sz w:val="20"/>
                  <w:szCs w:val="20"/>
                </w:rPr>
                <w:drawing>
                  <wp:inline distB="19050" distT="19050" distL="19050" distR="19050">
                    <wp:extent cx="419100" cy="114300"/>
                    <wp:effectExtent b="0" l="0" r="0" t="0"/>
                    <wp:docPr id="21" name="image25.png"/>
                    <a:graphic>
                      <a:graphicData uri="http://schemas.openxmlformats.org/drawingml/2006/picture">
                        <pic:pic>
                          <pic:nvPicPr>
                            <pic:cNvPr id="0" name="image25.png"/>
                            <pic:cNvPicPr preferRelativeResize="0"/>
                          </pic:nvPicPr>
                          <pic:blipFill>
                            <a:blip r:embed="rId9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19100" cy="1143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(High risk, highly vulnerable to interest rate changes and recession).</w:t>
            </w:r>
          </w:p>
        </w:tc>
      </w:tr>
    </w:tbl>
    <w:p w:rsidR="00000000" w:rsidDel="00000000" w:rsidP="00000000" w:rsidRDefault="00000000" w:rsidRPr="00000000" w14:paraId="00000049">
      <w:pPr>
        <w:pStyle w:val="Heading1"/>
        <w:rPr>
          <w:sz w:val="38"/>
          <w:szCs w:val="38"/>
        </w:rPr>
      </w:pPr>
      <w:bookmarkStart w:colFirst="0" w:colLast="0" w:name="_x4so7cx9oid9" w:id="2"/>
      <w:bookmarkEnd w:id="2"/>
      <w:r w:rsidDel="00000000" w:rsidR="00000000" w:rsidRPr="00000000">
        <w:rPr>
          <w:sz w:val="38"/>
          <w:szCs w:val="38"/>
          <w:rtl w:val="0"/>
        </w:rPr>
        <w:t xml:space="preserve">Investment Appraisal Decision Criteria</w:t>
      </w:r>
    </w:p>
    <w:tbl>
      <w:tblPr>
        <w:tblStyle w:val="Table3"/>
        <w:tblW w:w="15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65"/>
        <w:gridCol w:w="3495"/>
        <w:gridCol w:w="4455"/>
        <w:gridCol w:w="3405"/>
        <w:gridCol w:w="2625"/>
        <w:tblGridChange w:id="0">
          <w:tblGrid>
            <w:gridCol w:w="1365"/>
            <w:gridCol w:w="3495"/>
            <w:gridCol w:w="4455"/>
            <w:gridCol w:w="3405"/>
            <w:gridCol w:w="2625"/>
          </w:tblGrid>
        </w:tblGridChange>
      </w:tblGrid>
      <w:tr>
        <w:trPr>
          <w:cantSplit w:val="0"/>
          <w:trHeight w:val="680.500268888421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Definition/Description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Formula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Accept/Good Decision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Reject/Poor Decision 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8.1170461176653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Payback 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The time required for the total net cash inflows from an investment to equal the initial capital cost. Focuses on risk and quick return.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Count how many years until the last negative cumulative cash flow. Then to find months:</w:t>
            </w:r>
          </w:p>
          <w:p w:rsidR="00000000" w:rsidDel="00000000" w:rsidP="00000000" w:rsidRDefault="00000000" w:rsidRPr="00000000" w14:paraId="00000052">
            <w:pPr>
              <w:spacing w:after="0" w:lineRule="auto"/>
              <w:rPr>
                <w:color w:val="1f1f1f"/>
                <w:sz w:val="20"/>
                <w:szCs w:val="20"/>
              </w:rPr>
            </w:pPr>
            <w:hyperlink r:id="rId77">
              <w:r w:rsidDel="00000000" w:rsidR="00000000" w:rsidRPr="00000000">
                <w:rPr>
                  <w:color w:val="1f1f1f"/>
                  <w:sz w:val="20"/>
                  <w:szCs w:val="20"/>
                </w:rPr>
                <w:drawing>
                  <wp:inline distB="19050" distT="19050" distL="19050" distR="19050">
                    <wp:extent cx="1930400" cy="317500"/>
                    <wp:effectExtent b="0" l="0" r="0" t="0"/>
                    <wp:docPr id="22" name="image26.png"/>
                    <a:graphic>
                      <a:graphicData uri="http://schemas.openxmlformats.org/drawingml/2006/picture">
                        <pic:pic>
                          <pic:nvPicPr>
                            <pic:cNvPr id="0" name="image26.png"/>
                            <pic:cNvPicPr preferRelativeResize="0"/>
                          </pic:nvPicPr>
                          <pic:blipFill>
                            <a:blip r:embed="rId78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930400" cy="3175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Shortest period is preferred to allow for a margin of safety.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Close to the length of the project - no margin of safety re time.</w:t>
            </w:r>
          </w:p>
        </w:tc>
      </w:tr>
      <w:tr>
        <w:trPr>
          <w:cantSplit w:val="0"/>
          <w:trHeight w:val="1538.1170461176653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Average Rate of Return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(ARR)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The average annual profit of the investment expressed as a percentage of the initial cost. Used for quick profitability comparison.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color w:val="1f1f1f"/>
                <w:sz w:val="20"/>
                <w:szCs w:val="20"/>
              </w:rPr>
            </w:pPr>
            <w:hyperlink r:id="rId79">
              <w:r w:rsidDel="00000000" w:rsidR="00000000" w:rsidRPr="00000000">
                <w:rPr>
                  <w:color w:val="1f1f1f"/>
                  <w:sz w:val="20"/>
                  <w:szCs w:val="20"/>
                </w:rPr>
                <w:drawing>
                  <wp:inline distB="19050" distT="19050" distL="19050" distR="19050">
                    <wp:extent cx="1943100" cy="342900"/>
                    <wp:effectExtent b="0" l="0" r="0" t="0"/>
                    <wp:docPr id="38" name="image32.png"/>
                    <a:graphic>
                      <a:graphicData uri="http://schemas.openxmlformats.org/drawingml/2006/picture">
                        <pic:pic>
                          <pic:nvPicPr>
                            <pic:cNvPr id="0" name="image32.png"/>
                            <pic:cNvPicPr preferRelativeResize="0"/>
                          </pic:nvPicPr>
                          <pic:blipFill>
                            <a:blip r:embed="rId80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943100" cy="3429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0" w:lineRule="auto"/>
              <w:rPr>
                <w:i w:val="1"/>
                <w:i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1f1f1f"/>
                <w:sz w:val="20"/>
                <w:szCs w:val="20"/>
                <w:rtl w:val="0"/>
              </w:rPr>
              <w:t xml:space="preserve">Check formula sheet for expanded average annual profit formula.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Highest percentage is preferred. Must be greater than the target rate/cost of capital.</w:t>
            </w:r>
          </w:p>
          <w:p w:rsidR="00000000" w:rsidDel="00000000" w:rsidP="00000000" w:rsidRDefault="00000000" w:rsidRPr="00000000" w14:paraId="0000005A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Depends on what else firm could be using financial capital for, cost of borrowing.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Lower than the target rate/cost of capital.</w:t>
            </w:r>
          </w:p>
        </w:tc>
      </w:tr>
      <w:tr>
        <w:trPr>
          <w:cantSplit w:val="0"/>
          <w:trHeight w:val="1414.7426896574989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Net Present Value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(NPV - HL Only)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The sum of the present values of all cash flows (inflows and outflows) related to a project. Accounts for the time value of money.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color w:val="1f1f1f"/>
                <w:sz w:val="20"/>
                <w:szCs w:val="20"/>
              </w:rPr>
            </w:pPr>
            <w:hyperlink r:id="rId81">
              <w:r w:rsidDel="00000000" w:rsidR="00000000" w:rsidRPr="00000000">
                <w:rPr>
                  <w:color w:val="1f1f1f"/>
                  <w:sz w:val="20"/>
                  <w:szCs w:val="20"/>
                </w:rPr>
                <w:drawing>
                  <wp:inline distB="19050" distT="19050" distL="19050" distR="19050">
                    <wp:extent cx="2476500" cy="190500"/>
                    <wp:effectExtent b="0" l="0" r="0" t="0"/>
                    <wp:docPr id="28" name="image43.png"/>
                    <a:graphic>
                      <a:graphicData uri="http://schemas.openxmlformats.org/drawingml/2006/picture">
                        <pic:pic>
                          <pic:nvPicPr>
                            <pic:cNvPr id="0" name="image43.png"/>
                            <pic:cNvPicPr preferRelativeResize="0"/>
                          </pic:nvPicPr>
                          <pic:blipFill>
                            <a:blip r:embed="rId82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476500" cy="1905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Positive NPV (</w:t>
            </w:r>
            <w:hyperlink r:id="rId83">
              <w:r w:rsidDel="00000000" w:rsidR="00000000" w:rsidRPr="00000000">
                <w:rPr>
                  <w:color w:val="1f1f1f"/>
                  <w:sz w:val="20"/>
                  <w:szCs w:val="20"/>
                </w:rPr>
                <w:drawing>
                  <wp:inline distB="19050" distT="19050" distL="19050" distR="19050">
                    <wp:extent cx="215900" cy="101600"/>
                    <wp:effectExtent b="0" l="0" r="0" t="0"/>
                    <wp:docPr id="5" name="image12.png"/>
                    <a:graphic>
                      <a:graphicData uri="http://schemas.openxmlformats.org/drawingml/2006/picture">
                        <pic:pic>
                          <pic:nvPicPr>
                            <pic:cNvPr id="0" name="image12.png"/>
                            <pic:cNvPicPr preferRelativeResize="0"/>
                          </pic:nvPicPr>
                          <pic:blipFill>
                            <a:blip r:embed="rId84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159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). Highest positive figure is preferred for comparison (creates shareholder value).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Negative NPV (</w:t>
            </w:r>
            <w:hyperlink r:id="rId85">
              <w:r w:rsidDel="00000000" w:rsidR="00000000" w:rsidRPr="00000000">
                <w:rPr>
                  <w:color w:val="1f1f1f"/>
                  <w:sz w:val="20"/>
                  <w:szCs w:val="20"/>
                </w:rPr>
                <w:drawing>
                  <wp:inline distB="19050" distT="19050" distL="19050" distR="19050">
                    <wp:extent cx="215900" cy="101600"/>
                    <wp:effectExtent b="0" l="0" r="0" t="0"/>
                    <wp:docPr id="32" name="image38.png"/>
                    <a:graphic>
                      <a:graphicData uri="http://schemas.openxmlformats.org/drawingml/2006/picture">
                        <pic:pic>
                          <pic:nvPicPr>
                            <pic:cNvPr id="0" name="image38.png"/>
                            <pic:cNvPicPr preferRelativeResize="0"/>
                          </pic:nvPicPr>
                          <pic:blipFill>
                            <a:blip r:embed="rId86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159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). (Destroys value, should be rejected).</w:t>
            </w:r>
          </w:p>
        </w:tc>
      </w:tr>
    </w:tbl>
    <w:p w:rsidR="00000000" w:rsidDel="00000000" w:rsidP="00000000" w:rsidRDefault="00000000" w:rsidRPr="00000000" w14:paraId="00000061">
      <w:pPr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7" w:type="default"/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rPr/>
    </w:pPr>
    <w:r w:rsidDel="00000000" w:rsidR="00000000" w:rsidRPr="00000000">
      <w:rPr/>
      <w:pict>
        <v:shape id="PowerPlusWaterMarkObject1" style="position:absolute;width:483.47181119950096pt;height:256.5516258167699pt;rotation:315;z-index:-503316481;mso-position-horizontal-relative:margin;mso-position-horizontal:center;mso-position-vertical-relative:margin;mso-position-vertical:center;" fillcolor="#e8eaed" stroked="f" type="#_x0000_t136">
          <v:fill angle="0" opacity="65536f"/>
          <v:textpath fitshape="t" string="Draft" style="font-family:&amp;quot;Arial&amp;quot;;font-size:1pt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codecogs.com/eqnedit.php?latex=%3E2.5%3A1#0" TargetMode="External"/><Relationship Id="rId84" Type="http://schemas.openxmlformats.org/officeDocument/2006/relationships/image" Target="media/image12.png"/><Relationship Id="rId83" Type="http://schemas.openxmlformats.org/officeDocument/2006/relationships/hyperlink" Target="https://www.codecogs.com/eqnedit.php?latex=%3E0#0" TargetMode="External"/><Relationship Id="rId42" Type="http://schemas.openxmlformats.org/officeDocument/2006/relationships/hyperlink" Target="https://www.codecogs.com/eqnedit.php?latex=%3C1.0%3A1#0" TargetMode="External"/><Relationship Id="rId86" Type="http://schemas.openxmlformats.org/officeDocument/2006/relationships/image" Target="media/image38.png"/><Relationship Id="rId41" Type="http://schemas.openxmlformats.org/officeDocument/2006/relationships/image" Target="media/image42.png"/><Relationship Id="rId85" Type="http://schemas.openxmlformats.org/officeDocument/2006/relationships/hyperlink" Target="https://www.codecogs.com/eqnedit.php?latex=%3C0#0" TargetMode="External"/><Relationship Id="rId44" Type="http://schemas.openxmlformats.org/officeDocument/2006/relationships/hyperlink" Target="https://www.codecogs.com/eqnedit.php?latex=%5Cfrac%7B%5Ctext%7BCurrent%20Assets%7D%20-%20%5Ctext%7BStock%7D%7D%7B%5Ctext%7BCurrent%20Liabilities%7D%7D#0" TargetMode="External"/><Relationship Id="rId43" Type="http://schemas.openxmlformats.org/officeDocument/2006/relationships/image" Target="media/image14.png"/><Relationship Id="rId87" Type="http://schemas.openxmlformats.org/officeDocument/2006/relationships/header" Target="header1.xml"/><Relationship Id="rId46" Type="http://schemas.openxmlformats.org/officeDocument/2006/relationships/hyperlink" Target="https://www.codecogs.com/eqnedit.php?latex=%5Cge%201.0%3A1#0" TargetMode="External"/><Relationship Id="rId45" Type="http://schemas.openxmlformats.org/officeDocument/2006/relationships/image" Target="media/image39.png"/><Relationship Id="rId80" Type="http://schemas.openxmlformats.org/officeDocument/2006/relationships/image" Target="media/image32.png"/><Relationship Id="rId82" Type="http://schemas.openxmlformats.org/officeDocument/2006/relationships/image" Target="media/image43.png"/><Relationship Id="rId81" Type="http://schemas.openxmlformats.org/officeDocument/2006/relationships/hyperlink" Target="https://www.codecogs.com/eqnedit.php?latex=%5Csum%20(%5Ctext%7BDiscounted%20Cash%20Flows%7D)%20-%20%5Ctext%7BInitial%20Cost%7D#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2.png"/><Relationship Id="rId48" Type="http://schemas.openxmlformats.org/officeDocument/2006/relationships/hyperlink" Target="https://www.codecogs.com/eqnedit.php?latex=0.8%3A1#0" TargetMode="External"/><Relationship Id="rId47" Type="http://schemas.openxmlformats.org/officeDocument/2006/relationships/image" Target="media/image35.png"/><Relationship Id="rId49" Type="http://schemas.openxmlformats.org/officeDocument/2006/relationships/image" Target="media/image33.png"/><Relationship Id="rId5" Type="http://schemas.openxmlformats.org/officeDocument/2006/relationships/styles" Target="styles.xml"/><Relationship Id="rId6" Type="http://schemas.openxmlformats.org/officeDocument/2006/relationships/hyperlink" Target="https://www.codecogs.com/eqnedit.php?latex=%5Cfrac%7B%5Ctext%7BGross%20Profit%7D%7D%7B%5Ctext%7BSales%20Revenue%7D%7D%20%5Ctimes%20100#0" TargetMode="External"/><Relationship Id="rId7" Type="http://schemas.openxmlformats.org/officeDocument/2006/relationships/image" Target="media/image41.png"/><Relationship Id="rId8" Type="http://schemas.openxmlformats.org/officeDocument/2006/relationships/hyperlink" Target="https://www.codecogs.com/eqnedit.php?latex=%3E50%5C%25#0" TargetMode="External"/><Relationship Id="rId73" Type="http://schemas.openxmlformats.org/officeDocument/2006/relationships/image" Target="media/image29.png"/><Relationship Id="rId72" Type="http://schemas.openxmlformats.org/officeDocument/2006/relationships/hyperlink" Target="https://www.codecogs.com/eqnedit.php?latex=%3C25%5C%25#0" TargetMode="External"/><Relationship Id="rId31" Type="http://schemas.openxmlformats.org/officeDocument/2006/relationships/hyperlink" Target="https://www.codecogs.com/eqnedit.php?latex=%5Cfrac%7B%5Ctext%7BCurrent%20Assets%7D%7D%7B%5Ctext%7BCurrent%20Liabilities%7D%7D#0" TargetMode="External"/><Relationship Id="rId75" Type="http://schemas.openxmlformats.org/officeDocument/2006/relationships/image" Target="media/image34.png"/><Relationship Id="rId30" Type="http://schemas.openxmlformats.org/officeDocument/2006/relationships/image" Target="media/image30.png"/><Relationship Id="rId74" Type="http://schemas.openxmlformats.org/officeDocument/2006/relationships/hyperlink" Target="https://www.codecogs.com/eqnedit.php?latex=25%5C%25-50%5C%25#0" TargetMode="External"/><Relationship Id="rId33" Type="http://schemas.openxmlformats.org/officeDocument/2006/relationships/hyperlink" Target="https://www.codecogs.com/eqnedit.php?latex=1.5%3A1#0" TargetMode="External"/><Relationship Id="rId77" Type="http://schemas.openxmlformats.org/officeDocument/2006/relationships/hyperlink" Target="https://www.codecogs.com/eqnedit.php?latex=%5Cfrac%7B%5Ctext%7BHow%20much%20left%20to%20pay%7D%7D%7B%5Ctext%7BCash%20flow%20in%20the%20next%20year%7D%7D%20%5Ctimes%2012#0" TargetMode="External"/><Relationship Id="rId32" Type="http://schemas.openxmlformats.org/officeDocument/2006/relationships/image" Target="media/image40.png"/><Relationship Id="rId76" Type="http://schemas.openxmlformats.org/officeDocument/2006/relationships/hyperlink" Target="https://www.codecogs.com/eqnedit.php?latex=%3E50%5C%25#0" TargetMode="External"/><Relationship Id="rId35" Type="http://schemas.openxmlformats.org/officeDocument/2006/relationships/hyperlink" Target="https://www.codecogs.com/eqnedit.php?latex=2.0%3A1#0" TargetMode="External"/><Relationship Id="rId79" Type="http://schemas.openxmlformats.org/officeDocument/2006/relationships/hyperlink" Target="https://www.codecogs.com/eqnedit.php?latex=%5Cfrac%7B%5Ctext%7BAverage%20Annual%20Profit%7D%7D%7B%5Ctext%7BInitial%20Capital%20Cost%7D%7D%20%5Ctimes%20100#0" TargetMode="External"/><Relationship Id="rId34" Type="http://schemas.openxmlformats.org/officeDocument/2006/relationships/image" Target="media/image37.png"/><Relationship Id="rId78" Type="http://schemas.openxmlformats.org/officeDocument/2006/relationships/image" Target="media/image26.png"/><Relationship Id="rId71" Type="http://schemas.openxmlformats.org/officeDocument/2006/relationships/image" Target="media/image19.png"/><Relationship Id="rId70" Type="http://schemas.openxmlformats.org/officeDocument/2006/relationships/hyperlink" Target="https://www.codecogs.com/eqnedit.php?latex=%5Cfrac%7B%5Ctext%7BLoan%20Capital%7D%7D%7B%5Ctext%7BCapital%20Employed%7D%7D%20%5Ctimes%20100#0" TargetMode="External"/><Relationship Id="rId37" Type="http://schemas.openxmlformats.org/officeDocument/2006/relationships/hyperlink" Target="https://www.codecogs.com/eqnedit.php?latex=1.0%3A1#0" TargetMode="External"/><Relationship Id="rId36" Type="http://schemas.openxmlformats.org/officeDocument/2006/relationships/image" Target="media/image3.png"/><Relationship Id="rId39" Type="http://schemas.openxmlformats.org/officeDocument/2006/relationships/hyperlink" Target="https://www.codecogs.com/eqnedit.php?latex=1.5%3A1#0" TargetMode="External"/><Relationship Id="rId38" Type="http://schemas.openxmlformats.org/officeDocument/2006/relationships/image" Target="media/image13.png"/><Relationship Id="rId62" Type="http://schemas.openxmlformats.org/officeDocument/2006/relationships/image" Target="media/image28.png"/><Relationship Id="rId61" Type="http://schemas.openxmlformats.org/officeDocument/2006/relationships/hyperlink" Target="https://www.codecogs.com/eqnedit.php?latex=%5Cfrac%7B%5Ctext%7BDebtors%20(Receivables)%7D%7D%7B%5Ctext%7BTotal%20Sales%20Revenue%7D%7D%20%5Ctimes%20365#0" TargetMode="External"/><Relationship Id="rId20" Type="http://schemas.openxmlformats.org/officeDocument/2006/relationships/hyperlink" Target="https://www.codecogs.com/eqnedit.php?latex=%3C5%5C%25#0" TargetMode="External"/><Relationship Id="rId64" Type="http://schemas.openxmlformats.org/officeDocument/2006/relationships/hyperlink" Target="https://www.codecogs.com/eqnedit.php?latex=%3E90#0" TargetMode="External"/><Relationship Id="rId63" Type="http://schemas.openxmlformats.org/officeDocument/2006/relationships/hyperlink" Target="https://www.codecogs.com/eqnedit.php?latex=%3C30#0" TargetMode="External"/><Relationship Id="rId22" Type="http://schemas.openxmlformats.org/officeDocument/2006/relationships/hyperlink" Target="https://www.codecogs.com/eqnedit.php?latex=%5Cfrac%7B%5Ctext%7BNet%20Profit%20before%20interest%20and%20tax%7D%7D%7B%5Ctext%7BCapital%20Employed%7D%7D%20%5Ctimes%20100#0" TargetMode="External"/><Relationship Id="rId66" Type="http://schemas.openxmlformats.org/officeDocument/2006/relationships/image" Target="media/image6.png"/><Relationship Id="rId21" Type="http://schemas.openxmlformats.org/officeDocument/2006/relationships/image" Target="media/image4.png"/><Relationship Id="rId65" Type="http://schemas.openxmlformats.org/officeDocument/2006/relationships/hyperlink" Target="https://www.codecogs.com/eqnedit.php?latex=%5Cfrac%7B%5Ctext%7BCreditors%20(Payables)%7D%7D%7B%5Ctext%7BCost%20of%20Goods%20Sold%7D%7D%20%5Ctimes%20365#0" TargetMode="External"/><Relationship Id="rId24" Type="http://schemas.openxmlformats.org/officeDocument/2006/relationships/hyperlink" Target="https://www.codecogs.com/eqnedit.php?latex=%5Ctext%7BCapital%20employed%7D%20%3D#0" TargetMode="External"/><Relationship Id="rId68" Type="http://schemas.openxmlformats.org/officeDocument/2006/relationships/image" Target="media/image24.png"/><Relationship Id="rId23" Type="http://schemas.openxmlformats.org/officeDocument/2006/relationships/image" Target="media/image44.png"/><Relationship Id="rId67" Type="http://schemas.openxmlformats.org/officeDocument/2006/relationships/hyperlink" Target="https://www.codecogs.com/eqnedit.php?latex=%3E60#0" TargetMode="External"/><Relationship Id="rId60" Type="http://schemas.openxmlformats.org/officeDocument/2006/relationships/image" Target="media/image1.png"/><Relationship Id="rId26" Type="http://schemas.openxmlformats.org/officeDocument/2006/relationships/hyperlink" Target="https://www.codecogs.com/eqnedit.php?latex=%5Ctext%7BTotal%20equity%7D%20%2B%20%5Ctext%7BNon-current%20liabilities%7D#0" TargetMode="External"/><Relationship Id="rId25" Type="http://schemas.openxmlformats.org/officeDocument/2006/relationships/image" Target="media/image11.png"/><Relationship Id="rId69" Type="http://schemas.openxmlformats.org/officeDocument/2006/relationships/hyperlink" Target="https://www.codecogs.com/eqnedit.php?latex=%3C30#0" TargetMode="External"/><Relationship Id="rId28" Type="http://schemas.openxmlformats.org/officeDocument/2006/relationships/hyperlink" Target="https://www.codecogs.com/eqnedit.php?latex=%5Ctext%7BCapital%20employed%7D%20%3D#0" TargetMode="External"/><Relationship Id="rId27" Type="http://schemas.openxmlformats.org/officeDocument/2006/relationships/image" Target="media/image7.png"/><Relationship Id="rId29" Type="http://schemas.openxmlformats.org/officeDocument/2006/relationships/hyperlink" Target="https://www.codecogs.com/eqnedit.php?latex=%5Ctext%7BTotal%20assets%7D%20-%20%5Ctext%7BCurrent%20liabilities%7D#0" TargetMode="External"/><Relationship Id="rId51" Type="http://schemas.openxmlformats.org/officeDocument/2006/relationships/hyperlink" Target="https://www.codecogs.com/eqnedit.php?latex=%3C0.5%3A1#0" TargetMode="External"/><Relationship Id="rId50" Type="http://schemas.openxmlformats.org/officeDocument/2006/relationships/hyperlink" Target="https://www.codecogs.com/eqnedit.php?latex=1.0%3A1#0" TargetMode="External"/><Relationship Id="rId53" Type="http://schemas.openxmlformats.org/officeDocument/2006/relationships/hyperlink" Target="https://www.codecogs.com/eqnedit.php?latex=%5Cfrac%7B%5Ctext%7BAverage%20Stock%7D%7D%7B%5Ctext%7BCost%20of%20Goods%20Sold%7D%7D%20%5Ctimes%20365#0" TargetMode="External"/><Relationship Id="rId52" Type="http://schemas.openxmlformats.org/officeDocument/2006/relationships/image" Target="media/image5.png"/><Relationship Id="rId11" Type="http://schemas.openxmlformats.org/officeDocument/2006/relationships/image" Target="media/image31.png"/><Relationship Id="rId55" Type="http://schemas.openxmlformats.org/officeDocument/2006/relationships/hyperlink" Target="https://www.codecogs.com/eqnedit.php?latex=%5Cfrac%7B%5Ctext%7BCOGS%7D%7D%7B%5Ctext%7BAverage%20Stock%7D%7D#0" TargetMode="External"/><Relationship Id="rId10" Type="http://schemas.openxmlformats.org/officeDocument/2006/relationships/hyperlink" Target="https://www.codecogs.com/eqnedit.php?latex=20%5C%25-50%5C%25#0" TargetMode="External"/><Relationship Id="rId54" Type="http://schemas.openxmlformats.org/officeDocument/2006/relationships/image" Target="media/image15.png"/><Relationship Id="rId13" Type="http://schemas.openxmlformats.org/officeDocument/2006/relationships/image" Target="media/image20.png"/><Relationship Id="rId57" Type="http://schemas.openxmlformats.org/officeDocument/2006/relationships/hyperlink" Target="https://www.codecogs.com/eqnedit.php?latex=%3C30#0" TargetMode="External"/><Relationship Id="rId12" Type="http://schemas.openxmlformats.org/officeDocument/2006/relationships/hyperlink" Target="https://www.codecogs.com/eqnedit.php?latex=%3C20%5C%25#0" TargetMode="External"/><Relationship Id="rId56" Type="http://schemas.openxmlformats.org/officeDocument/2006/relationships/image" Target="media/image8.png"/><Relationship Id="rId15" Type="http://schemas.openxmlformats.org/officeDocument/2006/relationships/image" Target="media/image10.png"/><Relationship Id="rId59" Type="http://schemas.openxmlformats.org/officeDocument/2006/relationships/hyperlink" Target="https://www.codecogs.com/eqnedit.php?latex=%3E90#0" TargetMode="External"/><Relationship Id="rId14" Type="http://schemas.openxmlformats.org/officeDocument/2006/relationships/hyperlink" Target="https://www.codecogs.com/eqnedit.php?latex=%5Cfrac%7B%5Ctext%7BNet%20Profit%20(PBIT)%7D%7D%7B%5Ctext%7BSales%20Revenue%7D%7D%20%5Ctimes%20100#0" TargetMode="External"/><Relationship Id="rId58" Type="http://schemas.openxmlformats.org/officeDocument/2006/relationships/image" Target="media/image18.png"/><Relationship Id="rId17" Type="http://schemas.openxmlformats.org/officeDocument/2006/relationships/image" Target="media/image17.png"/><Relationship Id="rId16" Type="http://schemas.openxmlformats.org/officeDocument/2006/relationships/hyperlink" Target="https://www.codecogs.com/eqnedit.php?latex=%3E15%5C%25#0" TargetMode="External"/><Relationship Id="rId19" Type="http://schemas.openxmlformats.org/officeDocument/2006/relationships/image" Target="media/image16.png"/><Relationship Id="rId18" Type="http://schemas.openxmlformats.org/officeDocument/2006/relationships/hyperlink" Target="https://www.codecogs.com/eqnedit.php?latex=5%5C%25-15%5C%25#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