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sz w:val="38"/>
          <w:szCs w:val="38"/>
        </w:rPr>
      </w:pPr>
      <w:bookmarkStart w:colFirst="0" w:colLast="0" w:name="_3znndqv8ded" w:id="0"/>
      <w:bookmarkEnd w:id="0"/>
      <w:r w:rsidDel="00000000" w:rsidR="00000000" w:rsidRPr="00000000">
        <w:rPr>
          <w:sz w:val="38"/>
          <w:szCs w:val="38"/>
          <w:rtl w:val="0"/>
        </w:rPr>
        <w:t xml:space="preserve">Profitability ratios</w:t>
      </w:r>
    </w:p>
    <w:tbl>
      <w:tblPr>
        <w:tblStyle w:val="Table1"/>
        <w:tblW w:w="15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685"/>
        <w:gridCol w:w="3330"/>
        <w:gridCol w:w="2670"/>
        <w:gridCol w:w="2550"/>
        <w:gridCol w:w="2565"/>
        <w:tblGridChange w:id="0">
          <w:tblGrid>
            <w:gridCol w:w="1530"/>
            <w:gridCol w:w="2685"/>
            <w:gridCol w:w="3330"/>
            <w:gridCol w:w="2670"/>
            <w:gridCol w:w="2550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Rough definition/Description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Good/Target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Acceptable/Contextual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Poor/Warning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Gross Profit Margin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(GPM)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The proportion of sales revenue remaining after deducting the Cost of Goods Sold (COGS). Measures direct efficiency and pricing power.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371600" cy="317500"/>
                    <wp:effectExtent b="0" l="0" r="0" t="0"/>
                    <wp:docPr id="39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716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3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(High margin suggests strong pricing power or very low input costs, e.g., luxury goods/software).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723900" cy="114300"/>
                    <wp:effectExtent b="0" l="0" r="0" t="0"/>
                    <wp:docPr id="36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23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(Common for manufacturing/retail where input costs are significant).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11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(Low margin means severe price competition or rising COGS; very difficult to cover fixed costs).</w:t>
            </w:r>
          </w:p>
        </w:tc>
      </w:tr>
      <w:tr>
        <w:trPr>
          <w:cantSplit w:val="0"/>
          <w:trHeight w:val="767.402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Profit Margin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The proportion of sales revenue remaining after deducting all expenses (COGS and overheads). Measures overall operational efficiency and the final 'bottom line.'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47813" cy="313141"/>
                    <wp:effectExtent b="0" l="0" r="0" t="0"/>
                    <wp:docPr id="1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47813" cy="31314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15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(Indicates high efficiency in managing both COGS and operating expenses, e.g., tech/high-value services).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647700" cy="114300"/>
                    <wp:effectExtent b="0" l="0" r="0" t="0"/>
                    <wp:docPr id="13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477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(A sustainable return, common across many stable industries).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42900" cy="114300"/>
                    <wp:effectExtent b="0" l="0" r="0" t="0"/>
                    <wp:docPr id="6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(Low returns; sensitive to minor cost changes and indicates potential overhead issues).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Return on Capital Employed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(ROCE)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Measures the return generated by the total long-term capital invested in the business. It is the single most important measure of long-term efficiency for investors.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1f1f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24000" cy="190500"/>
                    <wp:effectExtent b="0" l="0" r="0" t="0"/>
                    <wp:docPr id="40" name="image44.png"/>
                    <a:graphic>
                      <a:graphicData uri="http://schemas.openxmlformats.org/drawingml/2006/picture">
                        <pic:pic>
                          <pic:nvPicPr>
                            <pic:cNvPr id="0" name="image44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973931" cy="106635"/>
                    <wp:effectExtent b="0" l="0" r="0" t="0"/>
                    <wp:docPr id="20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73931" cy="10663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745456" cy="136899"/>
                    <wp:effectExtent b="0" l="0" r="0" t="0"/>
                    <wp:docPr id="16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2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45456" cy="136899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br w:type="textWrapping"/>
              <w:t xml:space="preserve">Or</w:t>
            </w:r>
          </w:p>
          <w:p w:rsidR="00000000" w:rsidDel="00000000" w:rsidP="00000000" w:rsidRDefault="00000000" w:rsidRPr="00000000" w14:paraId="00000018">
            <w:pPr>
              <w:rPr>
                <w:color w:val="1f1f1f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973931" cy="106635"/>
                    <wp:effectExtent b="0" l="0" r="0" t="0"/>
                    <wp:docPr id="37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73931" cy="10663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color w:val="1f1f1f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785938" cy="95250"/>
                    <wp:effectExtent b="0" l="0" r="0" t="0"/>
                    <wp:docPr id="30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3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85938" cy="952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ROCE should exceed the firm’s cost of capital.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ROCE similar to industry average or marginally above cost of capital.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ROCE below the firm’s cost of capital indicates inefficient use of capital.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0" w:lineRule="auto"/>
        <w:rPr>
          <w:sz w:val="38"/>
          <w:szCs w:val="38"/>
        </w:rPr>
      </w:pPr>
      <w:bookmarkStart w:colFirst="0" w:colLast="0" w:name="_sud7uv6e2kmt" w:id="1"/>
      <w:bookmarkEnd w:id="1"/>
      <w:r w:rsidDel="00000000" w:rsidR="00000000" w:rsidRPr="00000000">
        <w:rPr>
          <w:sz w:val="38"/>
          <w:szCs w:val="38"/>
          <w:rtl w:val="0"/>
        </w:rPr>
        <w:t xml:space="preserve">Liquidity and efficiency ratios</w:t>
      </w:r>
    </w:p>
    <w:tbl>
      <w:tblPr>
        <w:tblStyle w:val="Table2"/>
        <w:tblW w:w="15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790"/>
        <w:gridCol w:w="3300"/>
        <w:gridCol w:w="2715"/>
        <w:gridCol w:w="2595"/>
        <w:gridCol w:w="2550"/>
        <w:tblGridChange w:id="0">
          <w:tblGrid>
            <w:gridCol w:w="1410"/>
            <w:gridCol w:w="2790"/>
            <w:gridCol w:w="3300"/>
            <w:gridCol w:w="2715"/>
            <w:gridCol w:w="2595"/>
            <w:gridCol w:w="25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Definition/Description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Good/Target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Acceptable/Contextual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Poor/Warning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Current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a firm's ability to cover its short-term debts using its short-term assets.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219200" cy="317500"/>
                    <wp:effectExtent b="0" l="0" r="0" t="0"/>
                    <wp:docPr id="3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2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42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to </w:t>
            </w:r>
            <w:hyperlink r:id="rId3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17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(Optimal balance of safety and avoiding idle assets).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12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to </w:t>
            </w:r>
            <w:hyperlink r:id="rId3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33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(Tight) </w:t>
            </w:r>
            <w:hyperlink r:id="rId4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01600"/>
                    <wp:effectExtent b="0" l="0" r="0" t="0"/>
                    <wp:docPr id="43" name="image39.png"/>
                    <a:graphic>
                      <a:graphicData uri="http://schemas.openxmlformats.org/drawingml/2006/picture">
                        <pic:pic>
                          <pic:nvPicPr>
                            <pic:cNvPr id="0" name="image39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(Inefficient/too much idle cash/stock).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01600"/>
                    <wp:effectExtent b="0" l="0" r="0" t="0"/>
                    <wp:docPr id="18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(High illiquidity risk; current assets don't cover current liabilities).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Acid Test (Quick)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 stricter measure of liquidity; it excludes stock (inventory) from current assets, as inventory may be difficult to sell quickly.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62100" cy="317500"/>
                    <wp:effectExtent b="0" l="0" r="0" t="0"/>
                    <wp:docPr id="44" name="image38.png"/>
                    <a:graphic>
                      <a:graphicData uri="http://schemas.openxmlformats.org/drawingml/2006/picture">
                        <pic:pic>
                          <pic:nvPicPr>
                            <pic:cNvPr id="0" name="image38.png"/>
                            <pic:cNvPicPr preferRelativeResize="0"/>
                          </pic:nvPicPr>
                          <pic:blipFill>
                            <a:blip r:embed="rId4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621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14300"/>
                    <wp:effectExtent b="0" l="0" r="0" t="0"/>
                    <wp:docPr id="27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4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(Ideal solvency; can pay immediate debts without selling inventory).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23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4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to </w:t>
            </w:r>
            <w:hyperlink r:id="rId5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29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(Slight reliance on stock sales, but manageable).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01600"/>
                    <wp:effectExtent b="0" l="0" r="0" t="0"/>
                    <wp:docPr id="10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(Dangerous insolvency risk).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Stock Turnover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number of days a business sells and replaces its average level of stock. This formula calculates stock turnover in days.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Days: </w:t>
            </w:r>
            <w:hyperlink r:id="rId5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57338" cy="283934"/>
                    <wp:effectExtent b="0" l="0" r="0" t="0"/>
                    <wp:docPr id="7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5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57338" cy="28393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Times per year: </w:t>
            </w:r>
            <w:hyperlink r:id="rId5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952500" cy="342900"/>
                    <wp:effectExtent b="0" l="0" r="0" t="0"/>
                    <wp:docPr id="19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525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 Days (e.g., </w:t>
            </w:r>
            <w:hyperlink r:id="rId5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35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): Efficient, low obsolescence risk (supermarkets/perishables).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Contextual: Varies widely (jewellery/aerospace can have higher days).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 Days (e.g., </w:t>
            </w:r>
            <w:hyperlink r:id="rId5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9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): Excess inventory, high storage costs, slow sales.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Debtor Days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average time it takes for the business to collect payment from its credit customers.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95438" cy="283453"/>
                    <wp:effectExtent b="0" l="0" r="0" t="0"/>
                    <wp:docPr id="26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6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95438" cy="283453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 (e.g., </w:t>
            </w:r>
            <w:hyperlink r:id="rId6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Efficient credit control.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Close to official credit period.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 (e.g., </w:t>
            </w:r>
            <w:hyperlink r:id="rId6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4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Poor cash flow, high risk of bad debts.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Creditor Days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average time it takes for the business to pay its suppliers.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614488" cy="300569"/>
                    <wp:effectExtent b="0" l="0" r="0" t="0"/>
                    <wp:docPr id="8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6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4488" cy="300569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 (e.g., </w:t>
            </w:r>
            <w:hyperlink r:id="rId6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25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6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Firm retains cash longer (good liquidity) </w:t>
            </w: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without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damaging relations.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Comparable to industry average.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 (e.g., </w:t>
            </w:r>
            <w:hyperlink r:id="rId6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34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Paying too quickly, unnecessarily strains cash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Gearing Ratio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proportion of a firm's long-term capital that is financed by debt (loan capital). Indicates financial risk.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624013" cy="339910"/>
                    <wp:effectExtent b="0" l="0" r="0" t="0"/>
                    <wp:docPr id="14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7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4013" cy="33991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24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(Low risk, high capacity to borrow).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723900" cy="114300"/>
                    <wp:effectExtent b="0" l="0" r="0" t="0"/>
                    <wp:docPr id="41" name="image43.png"/>
                    <a:graphic>
                      <a:graphicData uri="http://schemas.openxmlformats.org/drawingml/2006/picture">
                        <pic:pic>
                          <pic:nvPicPr>
                            <pic:cNvPr id="0" name="image43.png"/>
                            <pic:cNvPicPr preferRelativeResize="0"/>
                          </pic:nvPicPr>
                          <pic:blipFill>
                            <a:blip r:embed="rId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23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(Moderate risk; common for capital-intensive or expansion firms).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21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(High risk, highly vulnerable to interest rate changes and recession).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>
          <w:sz w:val="38"/>
          <w:szCs w:val="38"/>
        </w:rPr>
      </w:pPr>
      <w:bookmarkStart w:colFirst="0" w:colLast="0" w:name="_x4so7cx9oid9" w:id="2"/>
      <w:bookmarkEnd w:id="2"/>
      <w:r w:rsidDel="00000000" w:rsidR="00000000" w:rsidRPr="00000000">
        <w:rPr>
          <w:sz w:val="38"/>
          <w:szCs w:val="38"/>
          <w:rtl w:val="0"/>
        </w:rPr>
        <w:t xml:space="preserve">Investment Appraisal Decision Criteria</w:t>
      </w:r>
    </w:p>
    <w:tbl>
      <w:tblPr>
        <w:tblStyle w:val="Table3"/>
        <w:tblW w:w="15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495"/>
        <w:gridCol w:w="4455"/>
        <w:gridCol w:w="3405"/>
        <w:gridCol w:w="2625"/>
        <w:tblGridChange w:id="0">
          <w:tblGrid>
            <w:gridCol w:w="1365"/>
            <w:gridCol w:w="3495"/>
            <w:gridCol w:w="4455"/>
            <w:gridCol w:w="3405"/>
            <w:gridCol w:w="2625"/>
          </w:tblGrid>
        </w:tblGridChange>
      </w:tblGrid>
      <w:tr>
        <w:trPr>
          <w:cantSplit w:val="0"/>
          <w:trHeight w:val="680.50026888842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Definition/Description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Accept/Good Decision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Reject/Poor Decision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.1170461176653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time required for the total net cash inflows from an investment to equal the initial capital cost. Focuses on risk and quick return.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Count how many years until the last negative cumulative cash flow. Then to find months: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930400" cy="317500"/>
                    <wp:effectExtent b="0" l="0" r="0" t="0"/>
                    <wp:docPr id="22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304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Shortest period is preferred to allow for a margin of safety.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Close to the length of the project - no margin of safety re time.</w:t>
            </w:r>
          </w:p>
        </w:tc>
      </w:tr>
      <w:tr>
        <w:trPr>
          <w:cantSplit w:val="0"/>
          <w:trHeight w:val="1538.1170461176653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Average Rate of Return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(ARR)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average annual profit of the investment expressed as a percentage of the initial cost. Used for quick profitability comparison.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943100" cy="342900"/>
                    <wp:effectExtent b="0" l="0" r="0" t="0"/>
                    <wp:docPr id="38" name="image33.png"/>
                    <a:graphic>
                      <a:graphicData uri="http://schemas.openxmlformats.org/drawingml/2006/picture">
                        <pic:pic>
                          <pic:nvPicPr>
                            <pic:cNvPr id="0" name="image33.png"/>
                            <pic:cNvPicPr preferRelativeResize="0"/>
                          </pic:nvPicPr>
                          <pic:blipFill>
                            <a:blip r:embed="rId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31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i w:val="1"/>
                <w:i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Check formula sheet for expanded average annual profit formula.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Highest percentage is preferred. Must be greater than the target rate/cost of capital.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Depends on what else firm could be using financial capital for, cost of borrowing.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Lower than the target rate/cost of capital.</w:t>
            </w:r>
          </w:p>
        </w:tc>
      </w:tr>
      <w:tr>
        <w:trPr>
          <w:cantSplit w:val="0"/>
          <w:trHeight w:val="1414.742689657498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Net Present Value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(NPV - 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sum of the present values of all cash flows (inflows and outflows) related to a project. Accounts for the time value of money.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476500" cy="190500"/>
                    <wp:effectExtent b="0" l="0" r="0" t="0"/>
                    <wp:docPr id="28" name="image42.png"/>
                    <a:graphic>
                      <a:graphicData uri="http://schemas.openxmlformats.org/drawingml/2006/picture">
                        <pic:pic>
                          <pic:nvPicPr>
                            <pic:cNvPr id="0" name="image42.png"/>
                            <pic:cNvPicPr preferRelativeResize="0"/>
                          </pic:nvPicPr>
                          <pic:blipFill>
                            <a:blip r:embed="rId8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765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Positive NPV (</w:t>
            </w:r>
            <w:hyperlink r:id="rId8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15900" cy="101600"/>
                    <wp:effectExtent b="0" l="0" r="0" t="0"/>
                    <wp:docPr id="5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8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 Highest positive figure is preferred for comparison (creates shareholder value).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Negative NPV (</w:t>
            </w:r>
            <w:hyperlink r:id="rId8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15900" cy="101600"/>
                    <wp:effectExtent b="0" l="0" r="0" t="0"/>
                    <wp:docPr id="32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8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 (Destroys value, should be rejected).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7" w:type="default"/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pict>
        <v:shape id="PowerPlusWaterMarkObject1" style="position:absolute;width:483.47181119950096pt;height:256.5516258167699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Draft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3E2.5%3A1#0" TargetMode="External"/><Relationship Id="rId84" Type="http://schemas.openxmlformats.org/officeDocument/2006/relationships/image" Target="media/image4.png"/><Relationship Id="rId83" Type="http://schemas.openxmlformats.org/officeDocument/2006/relationships/hyperlink" Target="https://www.codecogs.com/eqnedit.php?latex=%3E0#0" TargetMode="External"/><Relationship Id="rId42" Type="http://schemas.openxmlformats.org/officeDocument/2006/relationships/hyperlink" Target="https://www.codecogs.com/eqnedit.php?latex=%3C1.0%3A1#0" TargetMode="External"/><Relationship Id="rId86" Type="http://schemas.openxmlformats.org/officeDocument/2006/relationships/image" Target="media/image26.png"/><Relationship Id="rId41" Type="http://schemas.openxmlformats.org/officeDocument/2006/relationships/image" Target="media/image39.png"/><Relationship Id="rId85" Type="http://schemas.openxmlformats.org/officeDocument/2006/relationships/hyperlink" Target="https://www.codecogs.com/eqnedit.php?latex=%3C0#0" TargetMode="External"/><Relationship Id="rId44" Type="http://schemas.openxmlformats.org/officeDocument/2006/relationships/hyperlink" Target="https://www.codecogs.com/eqnedit.php?latex=%5Cfrac%7B%5Ctext%7BCurrent%20Assets%7D%20-%20%5Ctext%7BStock%7D%7D%7B%5Ctext%7BCurrent%20Liabilities%7D%7D#0" TargetMode="External"/><Relationship Id="rId43" Type="http://schemas.openxmlformats.org/officeDocument/2006/relationships/image" Target="media/image22.png"/><Relationship Id="rId87" Type="http://schemas.openxmlformats.org/officeDocument/2006/relationships/header" Target="header1.xml"/><Relationship Id="rId46" Type="http://schemas.openxmlformats.org/officeDocument/2006/relationships/hyperlink" Target="https://www.codecogs.com/eqnedit.php?latex=%5Cge%201.0%3A1#0" TargetMode="External"/><Relationship Id="rId45" Type="http://schemas.openxmlformats.org/officeDocument/2006/relationships/image" Target="media/image38.png"/><Relationship Id="rId80" Type="http://schemas.openxmlformats.org/officeDocument/2006/relationships/image" Target="media/image33.png"/><Relationship Id="rId82" Type="http://schemas.openxmlformats.org/officeDocument/2006/relationships/image" Target="media/image42.png"/><Relationship Id="rId81" Type="http://schemas.openxmlformats.org/officeDocument/2006/relationships/hyperlink" Target="https://www.codecogs.com/eqnedit.php?latex=%5Csum%20(%5Ctext%7BDiscounted%20Cash%20Flows%7D)%20-%20%5Ctext%7BInitial%20Cost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hyperlink" Target="https://www.codecogs.com/eqnedit.php?latex=0.8%3A1#0" TargetMode="External"/><Relationship Id="rId47" Type="http://schemas.openxmlformats.org/officeDocument/2006/relationships/image" Target="media/image29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frac%7B%5Ctext%7BGross%20Profit%7D%7D%7B%5Ctext%7BSales%20Revenue%7D%7D%20%5Ctimes%20100#0" TargetMode="External"/><Relationship Id="rId7" Type="http://schemas.openxmlformats.org/officeDocument/2006/relationships/image" Target="media/image36.png"/><Relationship Id="rId8" Type="http://schemas.openxmlformats.org/officeDocument/2006/relationships/hyperlink" Target="https://www.codecogs.com/eqnedit.php?latex=%3E50%5C%25#0" TargetMode="External"/><Relationship Id="rId73" Type="http://schemas.openxmlformats.org/officeDocument/2006/relationships/image" Target="media/image20.png"/><Relationship Id="rId72" Type="http://schemas.openxmlformats.org/officeDocument/2006/relationships/hyperlink" Target="https://www.codecogs.com/eqnedit.php?latex=%3C25%5C%25#0" TargetMode="External"/><Relationship Id="rId31" Type="http://schemas.openxmlformats.org/officeDocument/2006/relationships/hyperlink" Target="https://www.codecogs.com/eqnedit.php?latex=%5Cfrac%7B%5Ctext%7BCurrent%20Assets%7D%7D%7B%5Ctext%7BCurrent%20Liabilities%7D%7D#0" TargetMode="External"/><Relationship Id="rId75" Type="http://schemas.openxmlformats.org/officeDocument/2006/relationships/image" Target="media/image43.png"/><Relationship Id="rId30" Type="http://schemas.openxmlformats.org/officeDocument/2006/relationships/image" Target="media/image35.png"/><Relationship Id="rId74" Type="http://schemas.openxmlformats.org/officeDocument/2006/relationships/hyperlink" Target="https://www.codecogs.com/eqnedit.php?latex=25%5C%25-50%5C%25#0" TargetMode="External"/><Relationship Id="rId33" Type="http://schemas.openxmlformats.org/officeDocument/2006/relationships/hyperlink" Target="https://www.codecogs.com/eqnedit.php?latex=1.5%3A1#0" TargetMode="External"/><Relationship Id="rId77" Type="http://schemas.openxmlformats.org/officeDocument/2006/relationships/hyperlink" Target="https://www.codecogs.com/eqnedit.php?latex=%5Cfrac%7B%5Ctext%7BHow%20much%20left%20to%20pay%7D%7D%7B%5Ctext%7BCash%20flow%20in%20the%20next%20year%7D%7D%20%5Ctimes%2012#0" TargetMode="External"/><Relationship Id="rId32" Type="http://schemas.openxmlformats.org/officeDocument/2006/relationships/image" Target="media/image37.png"/><Relationship Id="rId76" Type="http://schemas.openxmlformats.org/officeDocument/2006/relationships/hyperlink" Target="https://www.codecogs.com/eqnedit.php?latex=%3E50%5C%25#0" TargetMode="External"/><Relationship Id="rId35" Type="http://schemas.openxmlformats.org/officeDocument/2006/relationships/hyperlink" Target="https://www.codecogs.com/eqnedit.php?latex=2.0%3A1#0" TargetMode="External"/><Relationship Id="rId79" Type="http://schemas.openxmlformats.org/officeDocument/2006/relationships/hyperlink" Target="https://www.codecogs.com/eqnedit.php?latex=%5Cfrac%7B%5Ctext%7BAverage%20Annual%20Profit%7D%7D%7B%5Ctext%7BInitial%20Capital%20Cost%7D%7D%20%5Ctimes%20100#0" TargetMode="External"/><Relationship Id="rId34" Type="http://schemas.openxmlformats.org/officeDocument/2006/relationships/image" Target="media/image40.png"/><Relationship Id="rId78" Type="http://schemas.openxmlformats.org/officeDocument/2006/relationships/image" Target="media/image24.png"/><Relationship Id="rId71" Type="http://schemas.openxmlformats.org/officeDocument/2006/relationships/image" Target="media/image9.png"/><Relationship Id="rId70" Type="http://schemas.openxmlformats.org/officeDocument/2006/relationships/hyperlink" Target="https://www.codecogs.com/eqnedit.php?latex=%5Cfrac%7B%5Ctext%7BLoan%20Capital%7D%7D%7B%5Ctext%7BCapital%20Employed%7D%7D%20%5Ctimes%20100#0" TargetMode="External"/><Relationship Id="rId37" Type="http://schemas.openxmlformats.org/officeDocument/2006/relationships/hyperlink" Target="https://www.codecogs.com/eqnedit.php?latex=1.0%3A1#0" TargetMode="External"/><Relationship Id="rId36" Type="http://schemas.openxmlformats.org/officeDocument/2006/relationships/image" Target="media/image2.png"/><Relationship Id="rId39" Type="http://schemas.openxmlformats.org/officeDocument/2006/relationships/hyperlink" Target="https://www.codecogs.com/eqnedit.php?latex=1.5%3A1#0" TargetMode="External"/><Relationship Id="rId38" Type="http://schemas.openxmlformats.org/officeDocument/2006/relationships/image" Target="media/image7.png"/><Relationship Id="rId62" Type="http://schemas.openxmlformats.org/officeDocument/2006/relationships/image" Target="media/image31.png"/><Relationship Id="rId61" Type="http://schemas.openxmlformats.org/officeDocument/2006/relationships/hyperlink" Target="https://www.codecogs.com/eqnedit.php?latex=%5Cfrac%7B%5Ctext%7BDebtors%20(Receivables)%7D%7D%7B%5Ctext%7BTotal%20Sales%20Revenue%7D%7D%20%5Ctimes%20365#0" TargetMode="External"/><Relationship Id="rId20" Type="http://schemas.openxmlformats.org/officeDocument/2006/relationships/hyperlink" Target="https://www.codecogs.com/eqnedit.php?latex=%3C5%5C%25#0" TargetMode="External"/><Relationship Id="rId64" Type="http://schemas.openxmlformats.org/officeDocument/2006/relationships/hyperlink" Target="https://www.codecogs.com/eqnedit.php?latex=%3E90#0" TargetMode="External"/><Relationship Id="rId63" Type="http://schemas.openxmlformats.org/officeDocument/2006/relationships/hyperlink" Target="https://www.codecogs.com/eqnedit.php?latex=%3C30#0" TargetMode="External"/><Relationship Id="rId22" Type="http://schemas.openxmlformats.org/officeDocument/2006/relationships/hyperlink" Target="https://www.codecogs.com/eqnedit.php?latex=%5Cfrac%7B%5Ctext%7BNet%20Profit%20before%20interest%20and%20tax%7D%7D%7B%5Ctext%7BCapital%20Employed%7D%7D%20%5Ctimes%20100#0" TargetMode="External"/><Relationship Id="rId66" Type="http://schemas.openxmlformats.org/officeDocument/2006/relationships/image" Target="media/image3.png"/><Relationship Id="rId21" Type="http://schemas.openxmlformats.org/officeDocument/2006/relationships/image" Target="media/image6.png"/><Relationship Id="rId65" Type="http://schemas.openxmlformats.org/officeDocument/2006/relationships/hyperlink" Target="https://www.codecogs.com/eqnedit.php?latex=%5Cfrac%7B%5Ctext%7BCreditors%20(Payables)%7D%7D%7B%5Ctext%7BCost%20of%20Goods%20Sold%7D%7D%20%5Ctimes%20365#0" TargetMode="External"/><Relationship Id="rId24" Type="http://schemas.openxmlformats.org/officeDocument/2006/relationships/hyperlink" Target="https://www.codecogs.com/eqnedit.php?latex=%5Ctext%7BCapital%20employed%7D%20%3D#0" TargetMode="External"/><Relationship Id="rId68" Type="http://schemas.openxmlformats.org/officeDocument/2006/relationships/image" Target="media/image21.png"/><Relationship Id="rId23" Type="http://schemas.openxmlformats.org/officeDocument/2006/relationships/image" Target="media/image44.png"/><Relationship Id="rId67" Type="http://schemas.openxmlformats.org/officeDocument/2006/relationships/hyperlink" Target="https://www.codecogs.com/eqnedit.php?latex=%3E60#0" TargetMode="External"/><Relationship Id="rId60" Type="http://schemas.openxmlformats.org/officeDocument/2006/relationships/image" Target="media/image18.png"/><Relationship Id="rId26" Type="http://schemas.openxmlformats.org/officeDocument/2006/relationships/hyperlink" Target="https://www.codecogs.com/eqnedit.php?latex=%5Ctext%7BTotal%20equity%7D%20%2B%20%5Ctext%7BNon-current%20liabilities%7D#0" TargetMode="External"/><Relationship Id="rId25" Type="http://schemas.openxmlformats.org/officeDocument/2006/relationships/image" Target="media/image27.png"/><Relationship Id="rId69" Type="http://schemas.openxmlformats.org/officeDocument/2006/relationships/hyperlink" Target="https://www.codecogs.com/eqnedit.php?latex=%3C30#0" TargetMode="External"/><Relationship Id="rId28" Type="http://schemas.openxmlformats.org/officeDocument/2006/relationships/hyperlink" Target="https://www.codecogs.com/eqnedit.php?latex=%5Ctext%7BCapital%20employed%7D%20%3D#0" TargetMode="External"/><Relationship Id="rId27" Type="http://schemas.openxmlformats.org/officeDocument/2006/relationships/image" Target="media/image23.png"/><Relationship Id="rId29" Type="http://schemas.openxmlformats.org/officeDocument/2006/relationships/hyperlink" Target="https://www.codecogs.com/eqnedit.php?latex=%5Ctext%7BTotal%20assets%7D%20-%20%5Ctext%7BCurrent%20liabilities%7D#0" TargetMode="External"/><Relationship Id="rId51" Type="http://schemas.openxmlformats.org/officeDocument/2006/relationships/hyperlink" Target="https://www.codecogs.com/eqnedit.php?latex=%3C0.5%3A1#0" TargetMode="External"/><Relationship Id="rId50" Type="http://schemas.openxmlformats.org/officeDocument/2006/relationships/hyperlink" Target="https://www.codecogs.com/eqnedit.php?latex=1.0%3A1#0" TargetMode="External"/><Relationship Id="rId53" Type="http://schemas.openxmlformats.org/officeDocument/2006/relationships/hyperlink" Target="https://www.codecogs.com/eqnedit.php?latex=%5Cfrac%7B%5Ctext%7BAverage%20Stock%7D%7D%7B%5Ctext%7BCost%20of%20Goods%20Sold%7D%7D%20%5Ctimes%20365#0" TargetMode="External"/><Relationship Id="rId52" Type="http://schemas.openxmlformats.org/officeDocument/2006/relationships/image" Target="media/image1.png"/><Relationship Id="rId11" Type="http://schemas.openxmlformats.org/officeDocument/2006/relationships/image" Target="media/image34.png"/><Relationship Id="rId55" Type="http://schemas.openxmlformats.org/officeDocument/2006/relationships/hyperlink" Target="https://www.codecogs.com/eqnedit.php?latex=%5Cfrac%7B%5Ctext%7BCOGS%7D%7D%7B%5Ctext%7BAverage%20Stock%7D%7D#0" TargetMode="External"/><Relationship Id="rId10" Type="http://schemas.openxmlformats.org/officeDocument/2006/relationships/hyperlink" Target="https://www.codecogs.com/eqnedit.php?latex=20%5C%25-50%5C%25#0" TargetMode="External"/><Relationship Id="rId54" Type="http://schemas.openxmlformats.org/officeDocument/2006/relationships/image" Target="media/image10.png"/><Relationship Id="rId13" Type="http://schemas.openxmlformats.org/officeDocument/2006/relationships/image" Target="media/image5.png"/><Relationship Id="rId57" Type="http://schemas.openxmlformats.org/officeDocument/2006/relationships/hyperlink" Target="https://www.codecogs.com/eqnedit.php?latex=%3C30#0" TargetMode="External"/><Relationship Id="rId12" Type="http://schemas.openxmlformats.org/officeDocument/2006/relationships/hyperlink" Target="https://www.codecogs.com/eqnedit.php?latex=%3C20%5C%25#0" TargetMode="External"/><Relationship Id="rId56" Type="http://schemas.openxmlformats.org/officeDocument/2006/relationships/image" Target="media/image12.png"/><Relationship Id="rId15" Type="http://schemas.openxmlformats.org/officeDocument/2006/relationships/image" Target="media/image28.png"/><Relationship Id="rId59" Type="http://schemas.openxmlformats.org/officeDocument/2006/relationships/hyperlink" Target="https://www.codecogs.com/eqnedit.php?latex=%3E90#0" TargetMode="External"/><Relationship Id="rId14" Type="http://schemas.openxmlformats.org/officeDocument/2006/relationships/hyperlink" Target="https://www.codecogs.com/eqnedit.php?latex=%5Cfrac%7B%5Ctext%7BNet%20Profit%20(PBIT)%7D%7D%7B%5Ctext%7BSales%20Revenue%7D%7D%20%5Ctimes%20100#0" TargetMode="External"/><Relationship Id="rId5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hyperlink" Target="https://www.codecogs.com/eqnedit.php?latex=%3E15%5C%25#0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www.codecogs.com/eqnedit.php?latex=5%5C%25-15%5C%25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