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buq9yzn4m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IB Business Management: Finance Practice Test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Time: 60 Minutes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Total Marks: 30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Focus: AO1 (Knowledge) &amp; AO4 (Calculation)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tnqwnorqpnbs" w:id="1"/>
      <w:bookmarkEnd w:id="1"/>
      <w:r w:rsidDel="00000000" w:rsidR="00000000" w:rsidRPr="00000000">
        <w:rPr>
          <w:rtl w:val="0"/>
        </w:rPr>
        <w:t xml:space="preserve">1. Alpine Adventures (AA)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Lauren owns Alpine Adventures (AA), a ski rental business. The business is seasonal.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On 1 November 2024, Lauren forecasted her cash flow for the upcoming peak season. She estimates the following for the first four months of operation: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Opening Bank Balance (Dec 1):</w:t>
      </w:r>
      <w:r w:rsidDel="00000000" w:rsidR="00000000" w:rsidRPr="00000000">
        <w:rPr>
          <w:rtl w:val="0"/>
        </w:rPr>
        <w:t xml:space="preserve"> $1,500.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Forecasted Sales Revenue: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December: $10,000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January: $20,000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February: $24,000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March: $12,000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Inflow Terms:</w:t>
      </w:r>
      <w:r w:rsidDel="00000000" w:rsidR="00000000" w:rsidRPr="00000000">
        <w:rPr>
          <w:rtl w:val="0"/>
        </w:rPr>
        <w:t xml:space="preserve"> Lauren estimates that 60% of customers pay</w:t>
      </w:r>
      <w:r w:rsidDel="00000000" w:rsidR="00000000" w:rsidRPr="00000000">
        <w:rPr>
          <w:rtl w:val="0"/>
        </w:rPr>
        <w:t xml:space="preserve"> in cash in the month of sale. The remaining 40% are tour groups who pay on credit one month late</w:t>
      </w:r>
      <w:r w:rsidDel="00000000" w:rsidR="00000000" w:rsidRPr="00000000">
        <w:rPr>
          <w:rtl w:val="0"/>
        </w:rPr>
        <w:t xml:space="preserve">r. (e.g., 40% of December sales are received in January).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Outflows: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Rent:</w:t>
      </w:r>
      <w:r w:rsidDel="00000000" w:rsidR="00000000" w:rsidRPr="00000000">
        <w:rPr>
          <w:rtl w:val="0"/>
        </w:rPr>
        <w:t xml:space="preserve"> $2,000 paid every month.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Wages:</w:t>
      </w:r>
      <w:r w:rsidDel="00000000" w:rsidR="00000000" w:rsidRPr="00000000">
        <w:rPr>
          <w:rtl w:val="0"/>
        </w:rPr>
        <w:t xml:space="preserve"> Calculated as 30% of the </w:t>
      </w:r>
      <w:r w:rsidDel="00000000" w:rsidR="00000000" w:rsidRPr="00000000">
        <w:rPr>
          <w:i w:val="1"/>
          <w:iCs w:val="1"/>
          <w:rtl w:val="0"/>
        </w:rPr>
        <w:t xml:space="preserve">current month's</w:t>
      </w:r>
      <w:r w:rsidDel="00000000" w:rsidR="00000000" w:rsidRPr="00000000">
        <w:rPr>
          <w:rtl w:val="0"/>
        </w:rPr>
        <w:t xml:space="preserve"> sales revenue.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 Skis:</w:t>
      </w:r>
      <w:r w:rsidDel="00000000" w:rsidR="00000000" w:rsidRPr="00000000">
        <w:rPr>
          <w:rtl w:val="0"/>
        </w:rPr>
        <w:t xml:space="preserve"> A one-off purchase of $8,000 in December.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Electricity:</w:t>
      </w:r>
      <w:r w:rsidDel="00000000" w:rsidR="00000000" w:rsidRPr="00000000">
        <w:rPr>
          <w:rtl w:val="0"/>
        </w:rPr>
        <w:t xml:space="preserve"> $1,200 paid quarterly (paid in March only).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State two features of trade credit. [2]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(b) Prepare a cash-flow forecast for AA for December 2024 through March 2025. [6]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(c) Comment on AA's liquidity position in December compared to March. [2]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utdn6sjta2y3" w:id="2"/>
      <w:bookmarkEnd w:id="2"/>
      <w:r w:rsidDel="00000000" w:rsidR="00000000" w:rsidRPr="00000000">
        <w:rPr>
          <w:rtl w:val="0"/>
        </w:rPr>
        <w:t xml:space="preserve">2. GreenLeaf Furniture (GLF)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GreenLeaf Furniture (GLF)</w:t>
      </w:r>
      <w:r w:rsidDel="00000000" w:rsidR="00000000" w:rsidRPr="00000000">
        <w:rPr>
          <w:rtl w:val="0"/>
        </w:rPr>
        <w:t xml:space="preserve"> is switching from bespoke manufacturing to mass production of sustainable chairs. The Finance Director has provided a scrambled list of estimates for the year 2026 (see </w:t>
      </w:r>
      <w:r w:rsidDel="00000000" w:rsidR="00000000" w:rsidRPr="00000000">
        <w:rPr>
          <w:b w:val="1"/>
          <w:bCs w:val="1"/>
          <w:rtl w:val="0"/>
        </w:rPr>
        <w:t xml:space="preserve">Table 1</w:t>
      </w:r>
      <w:r w:rsidDel="00000000" w:rsidR="00000000" w:rsidRPr="00000000">
        <w:rPr>
          <w:rtl w:val="0"/>
        </w:rPr>
        <w:t xml:space="preserve">). He needs you to organize this into a usable financial statement.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1: Unorganized financial estimates for GLF (2026)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290"/>
        <w:tblGridChange w:id="0">
          <w:tblGrid>
            <w:gridCol w:w="2945"/>
            <w:gridCol w:w="32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/ Term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Rent for factory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$40,000 per year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Raw wood materials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$80 per chair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Marketing budget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5% of total Sales Revenue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Selling 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$250 per chair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Electricity &amp; Water (fixed)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$10,000 per year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Direct Labour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$50 per chair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Target Sales 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2,000 chairs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Corporation Tax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20% of Net Profit Before Tax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Interest payments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$5,000 per year</w:t>
            </w:r>
          </w:p>
        </w:tc>
      </w:tr>
    </w:tbl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(a) Define the term revenue expenditure.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(b) Using the information in Table 1: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(i) Construct a forecasted profit and loss account for GLF for 2026. [4]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(ii) Calculate the forecasted Profit Margin. [2]</w:t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(c) Explain one likely impact on GLF's </w:t>
      </w:r>
      <w:r w:rsidDel="00000000" w:rsidR="00000000" w:rsidRPr="00000000">
        <w:rPr>
          <w:i w:val="1"/>
          <w:iCs w:val="1"/>
          <w:rtl w:val="0"/>
        </w:rPr>
        <w:t xml:space="preserve">gross profit margin</w:t>
      </w:r>
      <w:r w:rsidDel="00000000" w:rsidR="00000000" w:rsidRPr="00000000">
        <w:rPr>
          <w:rtl w:val="0"/>
        </w:rPr>
        <w:t xml:space="preserve"> if the cost of raw wood materials increases.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240" w:lineRule="auto"/>
        <w:rPr/>
      </w:pPr>
      <w:bookmarkStart w:colFirst="0" w:colLast="0" w:name="_w02zzqk717q7" w:id="3"/>
      <w:bookmarkEnd w:id="3"/>
      <w:r w:rsidDel="00000000" w:rsidR="00000000" w:rsidRPr="00000000">
        <w:rPr>
          <w:rtl w:val="0"/>
        </w:rPr>
        <w:t xml:space="preserve">3. SolarTech Innovations (STI)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SolarTech Innovations (STI)</w:t>
      </w:r>
      <w:r w:rsidDel="00000000" w:rsidR="00000000" w:rsidRPr="00000000">
        <w:rPr>
          <w:rtl w:val="0"/>
        </w:rPr>
        <w:t xml:space="preserve">, a private limited company, manufactures solar power solutions. The company is considering building a new photovoltaic panel factory to meet rising consumer demand.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The new factory will cost </w:t>
      </w:r>
      <w:r w:rsidDel="00000000" w:rsidR="00000000" w:rsidRPr="00000000">
        <w:rPr>
          <w:b w:val="1"/>
          <w:bCs w:val="1"/>
          <w:rtl w:val="0"/>
        </w:rPr>
        <w:t xml:space="preserve">$15 million</w:t>
      </w:r>
      <w:r w:rsidDel="00000000" w:rsidR="00000000" w:rsidRPr="00000000">
        <w:rPr>
          <w:rtl w:val="0"/>
        </w:rPr>
        <w:t xml:space="preserve">. The expected net cash flow from the facility is given in </w:t>
      </w:r>
      <w:r w:rsidDel="00000000" w:rsidR="00000000" w:rsidRPr="00000000">
        <w:rPr>
          <w:b w:val="1"/>
          <w:bCs w:val="1"/>
          <w:rtl w:val="0"/>
        </w:rPr>
        <w:t xml:space="preserve">Table 4</w:t>
      </w:r>
      <w:r w:rsidDel="00000000" w:rsidR="00000000" w:rsidRPr="00000000">
        <w:rPr>
          <w:rtl w:val="0"/>
        </w:rPr>
        <w:t xml:space="preserve">. The factory is expected to be sold after five years for a residual value of </w:t>
      </w:r>
      <w:r w:rsidDel="00000000" w:rsidR="00000000" w:rsidRPr="00000000">
        <w:rPr>
          <w:b w:val="1"/>
          <w:bCs w:val="1"/>
          <w:rtl w:val="0"/>
        </w:rPr>
        <w:t xml:space="preserve">$3 million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4: Expected Net Cash Flow from STI’s new factory</w:t>
      </w:r>
    </w:p>
    <w:tbl>
      <w:tblPr>
        <w:tblStyle w:val="Table2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110"/>
        <w:tblGridChange w:id="0">
          <w:tblGrid>
            <w:gridCol w:w="770"/>
            <w:gridCol w:w="31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Cash Flow ($ million)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(a) Define the term loan capital. [2]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(b) For the new factory: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(i) Calculate the Payback Period (show all working). [2]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(ii) Calculate the Average Rate of Return (ARR) (show all working). [2]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(c) Comment on the usefulness of your answer from either b(i) or b(ii) for STI's investment decision. [2]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4dl2e40qc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Markscheme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qrlfnmm73u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Alpine Adventures (AA)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State two features of trade credit. [2]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Markscheme</w:t>
      </w:r>
      <w:r w:rsidDel="00000000" w:rsidR="00000000" w:rsidRPr="00000000">
        <w:rPr>
          <w:rtl w:val="0"/>
        </w:rPr>
        <w:t xml:space="preserve"> Features of trade credit include: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Buy now, pay later</w:t>
      </w:r>
      <w:r w:rsidDel="00000000" w:rsidR="00000000" w:rsidRPr="00000000">
        <w:rPr>
          <w:rtl w:val="0"/>
        </w:rPr>
        <w:t xml:space="preserve"> / delayed payment terms (e.g., 30–60 days).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short-term</w:t>
      </w:r>
      <w:r w:rsidDel="00000000" w:rsidR="00000000" w:rsidRPr="00000000">
        <w:rPr>
          <w:rtl w:val="0"/>
        </w:rPr>
        <w:t xml:space="preserve"> source of finance.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is usually </w:t>
      </w:r>
      <w:r w:rsidDel="00000000" w:rsidR="00000000" w:rsidRPr="00000000">
        <w:rPr>
          <w:b w:val="1"/>
          <w:bCs w:val="1"/>
          <w:rtl w:val="0"/>
        </w:rPr>
        <w:t xml:space="preserve">interest-free</w:t>
      </w:r>
      <w:r w:rsidDel="00000000" w:rsidR="00000000" w:rsidRPr="00000000">
        <w:rPr>
          <w:rtl w:val="0"/>
        </w:rPr>
        <w:t xml:space="preserve"> (if paid within the agreed period).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appears as </w:t>
      </w:r>
      <w:r w:rsidDel="00000000" w:rsidR="00000000" w:rsidRPr="00000000">
        <w:rPr>
          <w:b w:val="1"/>
          <w:bCs w:val="1"/>
          <w:rtl w:val="0"/>
        </w:rPr>
        <w:t xml:space="preserve">Creditors</w:t>
      </w:r>
      <w:r w:rsidDel="00000000" w:rsidR="00000000" w:rsidRPr="00000000">
        <w:rPr>
          <w:rtl w:val="0"/>
        </w:rPr>
        <w:t xml:space="preserve"> (Accounts Payable) under Current Liabilities on the balance sheet.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improves the business's </w:t>
      </w:r>
      <w:r w:rsidDel="00000000" w:rsidR="00000000" w:rsidRPr="00000000">
        <w:rPr>
          <w:b w:val="1"/>
          <w:bCs w:val="1"/>
          <w:rtl w:val="0"/>
        </w:rPr>
        <w:t xml:space="preserve">working capital</w:t>
      </w:r>
      <w:r w:rsidDel="00000000" w:rsidR="00000000" w:rsidRPr="00000000">
        <w:rPr>
          <w:rtl w:val="0"/>
        </w:rPr>
        <w:t xml:space="preserve"> / cash flow position (by keeping cash in the business longer).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Risk of losing </w:t>
      </w:r>
      <w:r w:rsidDel="00000000" w:rsidR="00000000" w:rsidRPr="00000000">
        <w:rPr>
          <w:b w:val="1"/>
          <w:bCs w:val="1"/>
          <w:rtl w:val="0"/>
        </w:rPr>
        <w:t xml:space="preserve">supplier goodwill</w:t>
      </w:r>
      <w:r w:rsidDel="00000000" w:rsidR="00000000" w:rsidRPr="00000000">
        <w:rPr>
          <w:rtl w:val="0"/>
        </w:rPr>
        <w:t xml:space="preserve"> or cash discounts if paid late.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Accept any other relevant feature.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N.B. No description or application to the stimulus is required.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each relevant feature stated up to a maximum of </w:t>
      </w:r>
      <w:r w:rsidDel="00000000" w:rsidR="00000000" w:rsidRPr="00000000">
        <w:rPr>
          <w:b w:val="1"/>
          <w:bCs w:val="1"/>
          <w:rtl w:val="0"/>
        </w:rPr>
        <w:t xml:space="preserve">[2]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Prepare a cash-flow forecast for AA for December 2024 through March 2025. [6]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Cash flow forecast for Alpine Adventures (AA) December 2024 – March 2025</w:t>
      </w:r>
    </w:p>
    <w:tbl>
      <w:tblPr>
        <w:tblStyle w:val="Table3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025"/>
        <w:gridCol w:w="1025"/>
        <w:gridCol w:w="995"/>
        <w:gridCol w:w="995"/>
        <w:tblGridChange w:id="0">
          <w:tblGrid>
            <w:gridCol w:w="2270"/>
            <w:gridCol w:w="1025"/>
            <w:gridCol w:w="1025"/>
            <w:gridCol w:w="995"/>
            <w:gridCol w:w="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figures in 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Opening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(5 500)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Inflows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Cash Sales (60%)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7 200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Credit Sales (40%)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9 600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Outflows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Wages (30%)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7 200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3 600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New Skis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8 000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Electricity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1 200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Outflows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Cash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(7 000)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Closing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(5 500)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25 700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Accept slightly different headings / format.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if the candidate conveys some understanding of what a cash flow forecast is, but otherwise the forecast is largely inaccurate, or incomplete.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[2–3]</w:t>
      </w:r>
      <w:r w:rsidDel="00000000" w:rsidR="00000000" w:rsidRPr="00000000">
        <w:rPr>
          <w:rtl w:val="0"/>
        </w:rPr>
        <w:t xml:space="preserve"> if a cash flow forecast is drawn, but either it is not in a generally accepted format or it is untidy, and/or the forecast contains three or more errors (errors can be mathematical or formatting errors).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[4–5]</w:t>
      </w:r>
      <w:r w:rsidDel="00000000" w:rsidR="00000000" w:rsidRPr="00000000">
        <w:rPr>
          <w:rtl w:val="0"/>
        </w:rPr>
        <w:t xml:space="preserve"> if the cash flow forecast is drawn essentially correctly and neatly in a generally accepted format, but there is one error for </w:t>
      </w:r>
      <w:r w:rsidDel="00000000" w:rsidR="00000000" w:rsidRPr="00000000">
        <w:rPr>
          <w:b w:val="1"/>
          <w:bCs w:val="1"/>
          <w:rtl w:val="0"/>
        </w:rPr>
        <w:t xml:space="preserve">[5]</w:t>
      </w:r>
      <w:r w:rsidDel="00000000" w:rsidR="00000000" w:rsidRPr="00000000">
        <w:rPr>
          <w:rtl w:val="0"/>
        </w:rPr>
        <w:t xml:space="preserve"> or two errors for </w:t>
      </w:r>
      <w:r w:rsidDel="00000000" w:rsidR="00000000" w:rsidRPr="00000000">
        <w:rPr>
          <w:b w:val="1"/>
          <w:bCs w:val="1"/>
          <w:rtl w:val="0"/>
        </w:rPr>
        <w:t xml:space="preserve">[4]</w:t>
      </w:r>
      <w:r w:rsidDel="00000000" w:rsidR="00000000" w:rsidRPr="00000000">
        <w:rPr>
          <w:rtl w:val="0"/>
        </w:rPr>
        <w:t xml:space="preserve"> (errors can be mathematical or formatting errors).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N.B. Allow candidate own figure rule (OFR): if a candidate makes an error in one row and carries it through the remainder of the forecast that is only one error.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[6]</w:t>
      </w:r>
      <w:r w:rsidDel="00000000" w:rsidR="00000000" w:rsidRPr="00000000">
        <w:rPr>
          <w:rtl w:val="0"/>
        </w:rPr>
        <w:t xml:space="preserve"> if the cash flow forecast is drawn accurately and neatly in a generally accepted format and is error free.</w:t>
      </w:r>
    </w:p>
    <w:p w:rsidR="00000000" w:rsidDel="00000000" w:rsidP="00000000" w:rsidRDefault="00000000" w:rsidRPr="00000000" w14:paraId="000000A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Comment on AA's liquidity position in December compared to March. [2]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December: The business has a liquidity problem / deficit (Closing balance of ($5 500)). This is due to high initial outflows (New Skis) and lower inflows.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March: The liquidity position has improved significantly (Closing balance of $25 700). The business is now solvent and has a healthy surplus.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a basic comment describing the balances.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[2]</w:t>
      </w:r>
      <w:r w:rsidDel="00000000" w:rsidR="00000000" w:rsidRPr="00000000">
        <w:rPr>
          <w:rtl w:val="0"/>
        </w:rPr>
        <w:t xml:space="preserve"> for a comment that compares the two positions using appropriate terminology (deficit/surplus, liquidity, solvent).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f5rrpezyr4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GreenLeaf Furniture (GLF)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Define the term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revenue expenditure</w:t>
      </w:r>
      <w:r w:rsidDel="00000000" w:rsidR="00000000" w:rsidRPr="00000000">
        <w:rPr>
          <w:b w:val="1"/>
          <w:bCs w:val="1"/>
          <w:rtl w:val="0"/>
        </w:rPr>
        <w:t xml:space="preserve">. [2]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Markscheme</w:t>
      </w:r>
      <w:r w:rsidDel="00000000" w:rsidR="00000000" w:rsidRPr="00000000">
        <w:rPr>
          <w:rtl w:val="0"/>
        </w:rPr>
        <w:t xml:space="preserve"> Costs incurred on a </w:t>
      </w:r>
      <w:r w:rsidDel="00000000" w:rsidR="00000000" w:rsidRPr="00000000">
        <w:rPr>
          <w:b w:val="1"/>
          <w:bCs w:val="1"/>
          <w:rtl w:val="0"/>
        </w:rPr>
        <w:t xml:space="preserve">day-to-day basis</w:t>
      </w:r>
      <w:r w:rsidDel="00000000" w:rsidR="00000000" w:rsidRPr="00000000">
        <w:rPr>
          <w:rtl w:val="0"/>
        </w:rPr>
        <w:t xml:space="preserve"> [1] for the ordinary running of a business/costs that do not lead to the creation of </w:t>
      </w:r>
      <w:r w:rsidDel="00000000" w:rsidR="00000000" w:rsidRPr="00000000">
        <w:rPr>
          <w:b w:val="1"/>
          <w:bCs w:val="1"/>
          <w:rtl w:val="0"/>
        </w:rPr>
        <w:t xml:space="preserve">long-term assets</w:t>
      </w:r>
      <w:r w:rsidDel="00000000" w:rsidR="00000000" w:rsidRPr="00000000">
        <w:rPr>
          <w:rtl w:val="0"/>
        </w:rPr>
        <w:t xml:space="preserve"> (e.g., rent, wages, or raw materials) [1].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partial understanding (e.g., "money spent on everyday things").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[2]</w:t>
      </w:r>
      <w:r w:rsidDel="00000000" w:rsidR="00000000" w:rsidRPr="00000000">
        <w:rPr>
          <w:rtl w:val="0"/>
        </w:rPr>
        <w:t xml:space="preserve"> for a clear definition that includes both the day-to-day aspect and the exclusion of long-term asset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(b)(i) Construct a forecasted profit and loss account for GLF for 2026. [4]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Forecasted Profit and Loss Account for GLF for the year ended 2026</w:t>
      </w:r>
    </w:p>
    <w:tbl>
      <w:tblPr>
        <w:tblStyle w:val="Table4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3020"/>
        <w:gridCol w:w="1280"/>
        <w:tblGridChange w:id="0">
          <w:tblGrid>
            <w:gridCol w:w="3770"/>
            <w:gridCol w:w="3020"/>
            <w:gridCol w:w="12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hyperlink r:id="rId6">
              <w:r w:rsidDel="00000000" w:rsidR="00000000" w:rsidRPr="00000000">
                <w:rPr/>
                <w:drawing>
                  <wp:inline distB="19050" distT="19050" distL="19050" distR="19050">
                    <wp:extent cx="838200" cy="114300"/>
                    <wp:effectExtent b="0" l="0" r="0" t="0"/>
                    <wp:docPr id="12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382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of Goods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hyperlink r:id="rId8">
              <w:r w:rsidDel="00000000" w:rsidR="00000000" w:rsidRPr="00000000">
                <w:rPr/>
                <w:drawing>
                  <wp:inline distB="19050" distT="19050" distL="19050" distR="19050">
                    <wp:extent cx="1282700" cy="177800"/>
                    <wp:effectExtent b="0" l="0" r="0" t="0"/>
                    <wp:docPr id="7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82700" cy="177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(260 000)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Electricity &amp; Water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hyperlink r:id="rId10">
              <w:r w:rsidDel="00000000" w:rsidR="00000000" w:rsidRPr="00000000">
                <w:rPr/>
                <w:drawing>
                  <wp:inline distB="19050" distT="19050" distL="19050" distR="19050">
                    <wp:extent cx="1028700" cy="152400"/>
                    <wp:effectExtent b="0" l="0" r="0" t="0"/>
                    <wp:docPr id="4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287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25 000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(75 000)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Profit before Interest &amp;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(5 000)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Profit before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Tax (20%)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hyperlink r:id="rId12">
              <w:r w:rsidDel="00000000" w:rsidR="00000000" w:rsidRPr="00000000">
                <w:rPr/>
                <w:drawing>
                  <wp:inline distB="19050" distT="19050" distL="19050" distR="19050">
                    <wp:extent cx="1117600" cy="152400"/>
                    <wp:effectExtent b="0" l="0" r="0" t="0"/>
                    <wp:docPr id="11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176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(32 000)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Profit after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format (Sales - COGS = GP...).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calculation of Sales Revenue and COGS ($500,000 and $260,000).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calculation of Expenses and Tax ($75,000 and $32,000).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[4]</w:t>
      </w:r>
      <w:r w:rsidDel="00000000" w:rsidR="00000000" w:rsidRPr="00000000">
        <w:rPr>
          <w:rtl w:val="0"/>
        </w:rPr>
        <w:t xml:space="preserve"> for a completely correct P&amp;L with all workings shown.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Apply Own Figure Rule (OFR) throughout.</w:t>
      </w:r>
    </w:p>
    <w:p w:rsidR="00000000" w:rsidDel="00000000" w:rsidP="00000000" w:rsidRDefault="00000000" w:rsidRPr="00000000" w14:paraId="000000E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(b)(ii) Calculate the forecasted Profit Margin. [2]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Formula: </w:t>
      </w:r>
      <w:hyperlink r:id="rId14">
        <w:r w:rsidDel="00000000" w:rsidR="00000000" w:rsidRPr="00000000">
          <w:rPr/>
          <w:drawing>
            <wp:inline distB="19050" distT="19050" distL="19050" distR="19050">
              <wp:extent cx="3225800" cy="381000"/>
              <wp:effectExtent b="0" l="0" r="0" t="0"/>
              <wp:docPr id="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258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Calculation: </w:t>
      </w:r>
      <w:hyperlink r:id="rId16">
        <w:r w:rsidDel="00000000" w:rsidR="00000000" w:rsidRPr="00000000">
          <w:rPr/>
          <w:drawing>
            <wp:inline distB="19050" distT="19050" distL="19050" distR="19050">
              <wp:extent cx="1625600" cy="381000"/>
              <wp:effectExtent b="0" l="0" r="0" t="0"/>
              <wp:docPr id="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OR (using Net Profit Before Tax)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1625600" cy="381000"/>
              <wp:effectExtent b="0" l="0" r="0" t="0"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256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working / formula.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Award [2]</w:t>
      </w:r>
      <w:r w:rsidDel="00000000" w:rsidR="00000000" w:rsidRPr="00000000">
        <w:rPr>
          <w:rtl w:val="0"/>
        </w:rPr>
        <w:t xml:space="preserve"> for the correct answer.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Allow OFR based on part (b)(i).</w:t>
      </w:r>
    </w:p>
    <w:p w:rsidR="00000000" w:rsidDel="00000000" w:rsidP="00000000" w:rsidRDefault="00000000" w:rsidRPr="00000000" w14:paraId="000000E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Explain one likely impact on GLF's gross profit margin if the cost of raw wood materials increases. [2]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If the cost of raw wood materials increases, the Cost of Goods Sold (COGS) will increase [1]. Assuming the selling price remains the same, the Gross Profit will fall, leading to a lower Gross Profit Margin [1].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vjxy95qo6h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SolarTech Innovations (STI)</w:t>
      </w:r>
    </w:p>
    <w:p w:rsidR="00000000" w:rsidDel="00000000" w:rsidP="00000000" w:rsidRDefault="00000000" w:rsidRPr="00000000" w14:paraId="000000F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Define the term loan capital. [2]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Funds sourced externally (debt finance) from financial institutions (e.g., banks) [1] that must be repaid (principal + interest) over an agreed period of time [1].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(b) For the new factory: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(i) Calculate the Payback Period (show all working). [2]</w:t>
      </w:r>
    </w:p>
    <w:p w:rsidR="00000000" w:rsidDel="00000000" w:rsidP="00000000" w:rsidRDefault="00000000" w:rsidRPr="00000000" w14:paraId="000000F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Markscheme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Initial Cost: </w:t>
      </w:r>
      <w:hyperlink r:id="rId20">
        <w:r w:rsidDel="00000000" w:rsidR="00000000" w:rsidRPr="00000000">
          <w:rPr/>
          <w:drawing>
            <wp:inline distB="19050" distT="19050" distL="19050" distR="19050">
              <wp:extent cx="304800" cy="114300"/>
              <wp:effectExtent b="0" l="0" r="0" t="0"/>
              <wp:docPr id="1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Cumulative Cash Flow: Y1 (2), Y2 (5), Y3 (10), Y4 (17).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Amount left to recover after Year 3: </w:t>
      </w:r>
      <w:hyperlink r:id="rId22">
        <w:r w:rsidDel="00000000" w:rsidR="00000000" w:rsidRPr="00000000">
          <w:rPr/>
          <w:drawing>
            <wp:inline distB="19050" distT="19050" distL="19050" distR="19050">
              <wp:extent cx="1371600" cy="114300"/>
              <wp:effectExtent b="0" l="0" r="0" t="0"/>
              <wp:docPr id="1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Cash Flow in Year 4: </w:t>
      </w:r>
      <w:hyperlink r:id="rId24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Calculation: </w:t>
      </w:r>
      <w:hyperlink r:id="rId26">
        <w:r w:rsidDel="00000000" w:rsidR="00000000" w:rsidRPr="00000000">
          <w:rPr/>
          <w:drawing>
            <wp:inline distB="19050" distT="19050" distL="19050" distR="19050">
              <wp:extent cx="2057400" cy="381000"/>
              <wp:effectExtent b="0" l="0" r="0" t="0"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4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lineRule="auto"/>
        <w:ind w:left="720" w:hanging="360"/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3810000" cy="152400"/>
              <wp:effectExtent b="0" l="0" r="0" t="0"/>
              <wp:docPr id="1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(Accept 3.71 years)</w:t>
      </w:r>
    </w:p>
    <w:p w:rsidR="00000000" w:rsidDel="00000000" w:rsidP="00000000" w:rsidRDefault="00000000" w:rsidRPr="00000000" w14:paraId="0000010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working and </w:t>
      </w:r>
      <w:r w:rsidDel="00000000" w:rsidR="00000000" w:rsidRPr="00000000">
        <w:rPr>
          <w:b w:val="1"/>
          <w:bCs w:val="1"/>
          <w:rtl w:val="0"/>
        </w:rPr>
        <w:t xml:space="preserve">[1]</w:t>
      </w:r>
      <w:r w:rsidDel="00000000" w:rsidR="00000000" w:rsidRPr="00000000">
        <w:rPr>
          <w:rtl w:val="0"/>
        </w:rPr>
        <w:t xml:space="preserve"> for the correct answer.</w:t>
      </w:r>
    </w:p>
    <w:p w:rsidR="00000000" w:rsidDel="00000000" w:rsidP="00000000" w:rsidRDefault="00000000" w:rsidRPr="00000000" w14:paraId="000001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(ii) Calculate the Average Rate of Return (ARR) (show all working). [2]</w:t>
      </w:r>
    </w:p>
    <w:p w:rsidR="00000000" w:rsidDel="00000000" w:rsidP="00000000" w:rsidRDefault="00000000" w:rsidRPr="00000000" w14:paraId="000001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Markscheme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Net Cash Flow (Years 1–5): </w:t>
      </w:r>
      <w:hyperlink r:id="rId30">
        <w:r w:rsidDel="00000000" w:rsidR="00000000" w:rsidRPr="00000000">
          <w:rPr/>
          <w:drawing>
            <wp:inline distB="19050" distT="19050" distL="19050" distR="19050">
              <wp:extent cx="1905000" cy="139700"/>
              <wp:effectExtent b="0" l="0" r="0" t="0"/>
              <wp:docPr id="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 Residual Value: </w:t>
      </w:r>
      <w:hyperlink r:id="rId32">
        <w:r w:rsidDel="00000000" w:rsidR="00000000" w:rsidRPr="00000000">
          <w:rPr/>
          <w:drawing>
            <wp:inline distB="19050" distT="19050" distL="19050" distR="19050">
              <wp:extent cx="1371600" cy="127000"/>
              <wp:effectExtent b="0" l="0" r="0" t="0"/>
              <wp:docPr id="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Profit over Life: </w:t>
      </w:r>
      <w:hyperlink r:id="rId34">
        <w:r w:rsidDel="00000000" w:rsidR="00000000" w:rsidRPr="00000000">
          <w:rPr/>
          <w:drawing>
            <wp:inline distB="19050" distT="19050" distL="19050" distR="19050">
              <wp:extent cx="3200400" cy="177800"/>
              <wp:effectExtent b="0" l="0" r="0" t="0"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0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Average Annual Profit: </w:t>
      </w:r>
      <w:hyperlink r:id="rId36">
        <w:r w:rsidDel="00000000" w:rsidR="00000000" w:rsidRPr="00000000">
          <w:rPr/>
          <w:drawing>
            <wp:inline distB="19050" distT="19050" distL="19050" distR="19050">
              <wp:extent cx="1600200" cy="177800"/>
              <wp:effectExtent b="0" l="0" r="0" t="0"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ARR: </w:t>
      </w:r>
      <w:hyperlink r:id="rId38">
        <w:r w:rsidDel="00000000" w:rsidR="00000000" w:rsidRPr="00000000">
          <w:rPr/>
          <w:drawing>
            <wp:inline distB="19050" distT="19050" distL="19050" distR="19050">
              <wp:extent cx="1752600" cy="381000"/>
              <wp:effectExtent b="0" l="0" r="0" t="0"/>
              <wp:docPr id="1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526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correct working / formula and </w:t>
      </w:r>
      <w:r w:rsidDel="00000000" w:rsidR="00000000" w:rsidRPr="00000000">
        <w:rPr>
          <w:b w:val="1"/>
          <w:bCs w:val="1"/>
          <w:rtl w:val="0"/>
        </w:rPr>
        <w:t xml:space="preserve">[1]</w:t>
      </w:r>
      <w:r w:rsidDel="00000000" w:rsidR="00000000" w:rsidRPr="00000000">
        <w:rPr>
          <w:rtl w:val="0"/>
        </w:rPr>
        <w:t xml:space="preserve"> for the correct answer.</w:t>
      </w:r>
    </w:p>
    <w:p w:rsidR="00000000" w:rsidDel="00000000" w:rsidP="00000000" w:rsidRDefault="00000000" w:rsidRPr="00000000" w14:paraId="000001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Comment on the usefulness of your answer from either b(i) or b(ii) for STI's investment decision. [2]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Markscheme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Candidates may make any accurate commentary, as long as it reflects information from (b)(i) or (b)(ii).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PBP:</w:t>
      </w:r>
      <w:r w:rsidDel="00000000" w:rsidR="00000000" w:rsidRPr="00000000">
        <w:rPr>
          <w:rtl w:val="0"/>
        </w:rPr>
        <w:t xml:space="preserve"> The payback of 3 years and 8.6 months is well within the 5-year project life [1]. This provides security, as STI will recover its capital quickly, reducing the risk associated with changes in solar energy demand [1].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ARR:</w:t>
      </w:r>
      <w:r w:rsidDel="00000000" w:rsidR="00000000" w:rsidRPr="00000000">
        <w:rPr>
          <w:rtl w:val="0"/>
        </w:rPr>
        <w:t xml:space="preserve"> The ARR of 17.33% is a clear indicator of the project's profitability, allowing STI to compare it easily with prevailing bank interest rates or the returns of other projects [1]. However, it ignores the timing of the cash flows (Time Value of Money), which is a weakness [1].</w:t>
      </w:r>
    </w:p>
    <w:p w:rsidR="00000000" w:rsidDel="00000000" w:rsidP="00000000" w:rsidRDefault="00000000" w:rsidRPr="00000000" w14:paraId="000001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Award [1]</w:t>
      </w:r>
      <w:r w:rsidDel="00000000" w:rsidR="00000000" w:rsidRPr="00000000">
        <w:rPr>
          <w:rtl w:val="0"/>
        </w:rPr>
        <w:t xml:space="preserve"> for a basic comment and an additional </w:t>
      </w:r>
      <w:r w:rsidDel="00000000" w:rsidR="00000000" w:rsidRPr="00000000">
        <w:rPr>
          <w:b w:val="1"/>
          <w:bCs w:val="1"/>
          <w:rtl w:val="0"/>
        </w:rPr>
        <w:t xml:space="preserve">[1]</w:t>
      </w:r>
      <w:r w:rsidDel="00000000" w:rsidR="00000000" w:rsidRPr="00000000">
        <w:rPr>
          <w:rtl w:val="0"/>
        </w:rPr>
        <w:t xml:space="preserve"> for offering a reasoned explanation or evaluation.</w:t>
      </w:r>
    </w:p>
    <w:p w:rsidR="00000000" w:rsidDel="00000000" w:rsidP="00000000" w:rsidRDefault="00000000" w:rsidRPr="00000000" w14:paraId="0000010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ogs.com/eqnedit.php?latex=15m#0" TargetMode="External"/><Relationship Id="rId22" Type="http://schemas.openxmlformats.org/officeDocument/2006/relationships/hyperlink" Target="https://www.codecogs.com/eqnedit.php?latex=15m%20-%2010m%20%3D%205m#0" TargetMode="External"/><Relationship Id="rId21" Type="http://schemas.openxmlformats.org/officeDocument/2006/relationships/image" Target="media/image12.png"/><Relationship Id="rId24" Type="http://schemas.openxmlformats.org/officeDocument/2006/relationships/hyperlink" Target="https://www.codecogs.com/eqnedit.php?latex=7m#0" TargetMode="External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www.codecogs.com/eqnedit.php?latex=3%20%5Ctext%7B%20years%7D%20%2B%20(%5Cfrac%7B5%7D%7B7%7D%20%5Ctimes%2012%20%5Ctext%7B%20months%7D)#0" TargetMode="External"/><Relationship Id="rId25" Type="http://schemas.openxmlformats.org/officeDocument/2006/relationships/image" Target="media/image15.png"/><Relationship Id="rId28" Type="http://schemas.openxmlformats.org/officeDocument/2006/relationships/hyperlink" Target="https://www.codecogs.com/eqnedit.php?latex=3%20%5Ctext%7B%20years%7D%20%2B%208.57%20%5Ctext%7B%20months%7D%20%3D%203%20%5Ctext%7B%20years%20and%20%7D%208.6%20%5Ctext%7B%20months%7D#0" TargetMode="External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250%20%5Ctimes%202%20000#0" TargetMode="External"/><Relationship Id="rId29" Type="http://schemas.openxmlformats.org/officeDocument/2006/relationships/image" Target="media/image14.png"/><Relationship Id="rId7" Type="http://schemas.openxmlformats.org/officeDocument/2006/relationships/image" Target="media/image5.png"/><Relationship Id="rId8" Type="http://schemas.openxmlformats.org/officeDocument/2006/relationships/hyperlink" Target="https://www.codecogs.com/eqnedit.php?latex=(80%20%2B%2050)%20%5Ctimes%202%20000#0" TargetMode="External"/><Relationship Id="rId31" Type="http://schemas.openxmlformats.org/officeDocument/2006/relationships/image" Target="media/image13.png"/><Relationship Id="rId30" Type="http://schemas.openxmlformats.org/officeDocument/2006/relationships/hyperlink" Target="https://www.codecogs.com/eqnedit.php?latex=2%2B3%2B5%2B7%2B8%20%3D%2025m#0" TargetMode="External"/><Relationship Id="rId11" Type="http://schemas.openxmlformats.org/officeDocument/2006/relationships/image" Target="media/image4.png"/><Relationship Id="rId33" Type="http://schemas.openxmlformats.org/officeDocument/2006/relationships/image" Target="media/image6.png"/><Relationship Id="rId10" Type="http://schemas.openxmlformats.org/officeDocument/2006/relationships/hyperlink" Target="https://www.codecogs.com/eqnedit.php?latex=5%5C%25%20%5Ctext%7B%20of%20%7D%20500%20000#0" TargetMode="External"/><Relationship Id="rId32" Type="http://schemas.openxmlformats.org/officeDocument/2006/relationships/hyperlink" Target="https://www.codecogs.com/eqnedit.php?latex=25m%20%2B%203m%20%3D%2028m#0" TargetMode="External"/><Relationship Id="rId13" Type="http://schemas.openxmlformats.org/officeDocument/2006/relationships/image" Target="media/image1.png"/><Relationship Id="rId35" Type="http://schemas.openxmlformats.org/officeDocument/2006/relationships/image" Target="media/image16.png"/><Relationship Id="rId12" Type="http://schemas.openxmlformats.org/officeDocument/2006/relationships/hyperlink" Target="https://www.codecogs.com/eqnedit.php?latex=20%5C%25%20%5Ctext%7B%20of%20%7D%20160%20000#0" TargetMode="External"/><Relationship Id="rId34" Type="http://schemas.openxmlformats.org/officeDocument/2006/relationships/hyperlink" Target="https://www.codecogs.com/eqnedit.php?latex=28m%20%5Ctext%7B%20(Total%20Inflow)%7D%20-%2015m%20%5Ctext%7B%20(Cost)%7D%20%3D%2013m#0" TargetMode="External"/><Relationship Id="rId15" Type="http://schemas.openxmlformats.org/officeDocument/2006/relationships/image" Target="media/image17.png"/><Relationship Id="rId37" Type="http://schemas.openxmlformats.org/officeDocument/2006/relationships/image" Target="media/image9.png"/><Relationship Id="rId14" Type="http://schemas.openxmlformats.org/officeDocument/2006/relationships/hyperlink" Target="https://www.codecogs.com/eqnedit.php?latex=%5Cfrac%7B%5Ctext%7BNet%20Profit%20before%20Interest%20and%20Tax%7D%7D%7B%5Ctext%7BSales%20Revenue%7D%7D%20%5Ctimes%20100#0" TargetMode="External"/><Relationship Id="rId36" Type="http://schemas.openxmlformats.org/officeDocument/2006/relationships/hyperlink" Target="https://www.codecogs.com/eqnedit.php?latex=13m%20%2F%205%20%5Ctext%7B%20years%7D%20%3D%202.6m#0" TargetMode="External"/><Relationship Id="rId17" Type="http://schemas.openxmlformats.org/officeDocument/2006/relationships/image" Target="media/image11.png"/><Relationship Id="rId39" Type="http://schemas.openxmlformats.org/officeDocument/2006/relationships/image" Target="media/image8.png"/><Relationship Id="rId16" Type="http://schemas.openxmlformats.org/officeDocument/2006/relationships/hyperlink" Target="https://www.codecogs.com/eqnedit.php?latex=%5Cfrac%7B165%20000%7D%7B500%20000%7D%20%5Ctimes%20100%20%3D%2033%5C%25#0" TargetMode="External"/><Relationship Id="rId38" Type="http://schemas.openxmlformats.org/officeDocument/2006/relationships/hyperlink" Target="https://www.codecogs.com/eqnedit.php?latex=%5Cfrac%7B2.6m%7D%7B15m%7D%20%5Ctimes%20100%20%3D%20%5Cmathbf%7B17.33%5C%25%7D#0" TargetMode="External"/><Relationship Id="rId19" Type="http://schemas.openxmlformats.org/officeDocument/2006/relationships/image" Target="media/image2.png"/><Relationship Id="rId18" Type="http://schemas.openxmlformats.org/officeDocument/2006/relationships/hyperlink" Target="https://www.codecogs.com/eqnedit.php?latex=%5Cfrac%7B160%20000%7D%7B500%20000%7D%20%5Ctimes%20100%20%3D%2032%5C%25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