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4E79"/>
          <w:sz w:val="24"/>
          <w:szCs w:val="24"/>
        </w:rPr>
        <w:t xml:space="preserve">UNIVERSITÉ AUBE NOUVELLE (U-AUBEN)</w:t>
      </w:r>
    </w:p>
    <w:p>
      <w:pPr>
        <w:spacing w:after="60"/>
        <w:jc w:val="center"/>
      </w:pPr>
      <w:r>
        <w:rPr>
          <w:rFonts w:ascii="Arial" w:cs="Arial" w:eastAsia="Arial" w:hAnsi="Arial"/>
          <w:color w:val="555555"/>
          <w:sz w:val="22"/>
          <w:szCs w:val="22"/>
        </w:rPr>
        <w:t xml:space="preserve">Institut Supérieur d'Information et de Gestion (ISIG International)</w:t>
      </w:r>
    </w:p>
    <w:p>
      <w:pPr>
        <w:spacing w:after="60"/>
        <w:jc w:val="center"/>
      </w:pPr>
      <w:r>
        <w:rPr>
          <w:rFonts w:ascii="Arial" w:cs="Arial" w:eastAsia="Arial" w:hAnsi="Arial"/>
          <w:color w:val="555555"/>
          <w:sz w:val="22"/>
          <w:szCs w:val="22"/>
        </w:rPr>
        <w:t xml:space="preserve">Filière : Informatique — Option Programmation</w:t>
      </w:r>
    </w:p>
    <w:p>
      <w:r>
        <w:t xml:space="preserve"/>
      </w:r>
    </w:p>
    <w:p>
      <w:pPr>
        <w:pBdr>
          <w:bottom w:val="single" w:color="1F4E79" w:sz="12" w:space="1"/>
        </w:pBdr>
      </w:pPr>
      <w:r>
        <w:t xml:space="preserve"/>
      </w:r>
    </w:p>
    <w:p>
      <w:r>
        <w:t xml:space="preserve"/>
      </w:r>
    </w:p>
    <w:p>
      <w:pPr>
        <w:spacing w:after="80" w:before="100"/>
        <w:jc w:val="center"/>
      </w:pPr>
      <w:r>
        <w:rPr>
          <w:rFonts w:ascii="Arial" w:cs="Arial" w:eastAsia="Arial" w:hAnsi="Arial"/>
          <w:b/>
          <w:bCs/>
          <w:color w:val="1F4E79"/>
          <w:sz w:val="40"/>
          <w:szCs w:val="40"/>
        </w:rPr>
        <w:t xml:space="preserve">CAHIER DES CHARGES</w:t>
      </w:r>
    </w:p>
    <w:p>
      <w:pPr>
        <w:spacing w:after="40"/>
        <w:jc w:val="center"/>
      </w:pPr>
      <w:r>
        <w:rPr>
          <w:rFonts w:ascii="Arial" w:cs="Arial" w:eastAsia="Arial" w:hAnsi="Arial"/>
          <w:color w:val="444444"/>
          <w:sz w:val="26"/>
          <w:szCs w:val="26"/>
        </w:rPr>
        <w:t xml:space="preserve">Version 2.0 — BBDA Events</w:t>
      </w:r>
    </w:p>
    <w:p>
      <w:pPr>
        <w:spacing w:after="200"/>
        <w:jc w:val="center"/>
      </w:pPr>
      <w:r>
        <w:rPr>
          <w:rFonts w:ascii="Arial" w:cs="Arial" w:eastAsia="Arial" w:hAnsi="Arial"/>
          <w:color w:val="555555"/>
          <w:sz w:val="22"/>
          <w:szCs w:val="22"/>
        </w:rPr>
        <w:t xml:space="preserve">Plateforme de déclaration, de gestion et de promotion des événements culturels occasionnels au BBDA</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single" w:color="1F4E79" w:sz="4"/>
              <w:left w:val="single" w:color="1F4E79" w:sz="4"/>
              <w:bottom w:val="single" w:color="1F4E79" w:sz="4"/>
              <w:right w:val="single" w:color="1F4E79" w:sz="4"/>
            </w:tcBorders>
            <w:shd w:fill="D6E4F0" w:val="clear"/>
            <w:tcMar>
              <w:top w:type="dxa" w:w="200"/>
              <w:left w:type="dxa" w:w="240"/>
              <w:bottom w:type="dxa" w:w="200"/>
              <w:right w:type="dxa" w:w="240"/>
            </w:tcMar>
          </w:tcPr>
          <w:p>
            <w:pPr>
              <w:jc w:val="center"/>
            </w:pPr>
            <w:r>
              <w:rPr>
                <w:rFonts w:ascii="Arial" w:cs="Arial" w:eastAsia="Arial" w:hAnsi="Arial"/>
                <w:i/>
                <w:iCs/>
                <w:color w:val="1F4E79"/>
                <w:sz w:val="22"/>
                <w:szCs w:val="22"/>
              </w:rPr>
              <w:t xml:space="preserve">De la déclaration par l'organisateur à la délivrance de la quittance, avec face publique de promotion des événements culturels burkinabè</w:t>
            </w:r>
          </w:p>
        </w:tc>
      </w:tr>
    </w:tbl>
    <w:p>
      <w:r>
        <w:t xml:space="preserve"/>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3200"/>
        <w:gridCol w:w="5806"/>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2"/>
                <w:szCs w:val="22"/>
              </w:rPr>
              <w:t xml:space="preserve">Auteur</w:t>
            </w:r>
          </w:p>
        </w:tc>
        <w:tc>
          <w:tcPr>
            <w:tcW w:type="dxa" w:w="5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FOFANA Samson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2"/>
                <w:szCs w:val="22"/>
              </w:rPr>
              <w:t xml:space="preserve">Structure d'accueil</w:t>
            </w:r>
          </w:p>
        </w:tc>
        <w:tc>
          <w:tcPr>
            <w:tcW w:type="dxa" w:w="5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Bureau Burkinabè du Droit d'Auteur (BBDA)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2"/>
                <w:szCs w:val="22"/>
              </w:rPr>
              <w:t xml:space="preserve">Formation</w:t>
            </w:r>
          </w:p>
        </w:tc>
        <w:tc>
          <w:tcPr>
            <w:tcW w:type="dxa" w:w="5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Licence Informatique — Option Programmation, U-AUBEN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2"/>
                <w:szCs w:val="22"/>
              </w:rPr>
              <w:t xml:space="preserve">Année académique</w:t>
            </w:r>
          </w:p>
        </w:tc>
        <w:tc>
          <w:tcPr>
            <w:tcW w:type="dxa" w:w="5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2025 – 2026</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2"/>
                <w:szCs w:val="22"/>
              </w:rPr>
              <w:t xml:space="preserve">Version</w:t>
            </w:r>
          </w:p>
        </w:tc>
        <w:tc>
          <w:tcPr>
            <w:tcW w:type="dxa" w:w="5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2.0 — Face publique + Cœur métier + Promotion événements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2"/>
                <w:szCs w:val="22"/>
              </w:rPr>
              <w:t xml:space="preserve">Inspiré de</w:t>
            </w:r>
          </w:p>
        </w:tc>
        <w:tc>
          <w:tcPr>
            <w:tcW w:type="dxa" w:w="58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Veenue.io — plateforme de gestion d'événements africaine</w:t>
            </w:r>
          </w:p>
        </w:tc>
      </w:tr>
    </w:tbl>
    <w:p>
      <w:r>
        <w:t xml:space="preserve"/>
      </w:r>
    </w:p>
    <w:p>
      <w:r>
        <w:t xml:space="preserve"/>
      </w:r>
    </w:p>
    <w:p>
      <w:pPr>
        <w:pageBreakBefore/>
      </w:pPr>
      <w:r>
        <w:t xml:space="preserve"/>
      </w:r>
    </w:p>
    <w:p>
      <w:pPr>
        <w:pStyle w:val="Heading1"/>
        <w:spacing w:after="200" w:before="400"/>
      </w:pPr>
      <w:r>
        <w:rPr>
          <w:rFonts w:ascii="Arial" w:cs="Arial" w:eastAsia="Arial" w:hAnsi="Arial"/>
          <w:b/>
          <w:bCs/>
          <w:color w:val="1F4E79"/>
          <w:sz w:val="28"/>
          <w:szCs w:val="28"/>
        </w:rPr>
        <w:t xml:space="preserve">1. Présentation générale du projet</w:t>
      </w:r>
    </w:p>
    <w:p>
      <w:pPr>
        <w:pStyle w:val="Heading2"/>
        <w:spacing w:after="140" w:before="280"/>
      </w:pPr>
      <w:r>
        <w:rPr>
          <w:rFonts w:ascii="Arial" w:cs="Arial" w:eastAsia="Arial" w:hAnsi="Arial"/>
          <w:b/>
          <w:bCs/>
          <w:color w:val="2E74B5"/>
          <w:sz w:val="24"/>
          <w:szCs w:val="24"/>
        </w:rPr>
        <w:t xml:space="preserve">1.1. Contexte</w:t>
      </w:r>
    </w:p>
    <w:p>
      <w:pPr>
        <w:spacing w:after="80" w:before="80"/>
        <w:jc w:val="both"/>
      </w:pPr>
      <w:r>
        <w:rPr>
          <w:rFonts w:ascii="Arial" w:cs="Arial" w:eastAsia="Arial" w:hAnsi="Arial"/>
          <w:color w:val="1A1A1A"/>
          <w:sz w:val="22"/>
          <w:szCs w:val="22"/>
        </w:rPr>
        <w:t xml:space="preserve">Le Bureau Burkinabè du Droit d'Auteur (BBDA) est l'institution publique chargée de la protection et de la gestion collective des droits d'auteur et des droits voisins au Burkina Faso. Parmi ses missions, le BBDA perçoit des redevances auprès des organisateurs d'événements culturels occasionnels (concerts, festivals, spectacles, galas) et assure la promotion de la culture burkinabè.</w:t>
      </w:r>
    </w:p>
    <w:p>
      <w:pPr>
        <w:spacing w:after="80" w:before="80"/>
        <w:jc w:val="both"/>
      </w:pPr>
      <w:r>
        <w:rPr>
          <w:rFonts w:ascii="Arial" w:cs="Arial" w:eastAsia="Arial" w:hAnsi="Arial"/>
          <w:color w:val="1A1A1A"/>
          <w:sz w:val="22"/>
          <w:szCs w:val="22"/>
        </w:rPr>
        <w:t xml:space="preserve">Le processus de déclaration d'événements repose actuellement sur un circuit entièrement papier, sans outil numérique dédié. Par ailleurs, le BBDA ne dispose pas d'une plateforme publique permettant de promouvoir les événements culturels déclarés auprès du grand public.</w:t>
      </w:r>
    </w:p>
    <w:p>
      <w:pPr>
        <w:spacing w:after="80" w:before="80"/>
        <w:jc w:val="both"/>
      </w:pPr>
      <w:r>
        <w:rPr>
          <w:rFonts w:ascii="Arial" w:cs="Arial" w:eastAsia="Arial" w:hAnsi="Arial"/>
          <w:color w:val="1A1A1A"/>
          <w:sz w:val="22"/>
          <w:szCs w:val="22"/>
        </w:rPr>
        <w:t xml:space="preserve">Ce projet s'inspire de l'approche de plateformes africaines comme Veenue.io pour concevoir une solution complète, adaptée au contexte burkinabè, alliant gestion administrative interne et visibilité publique des événements culturels.</w:t>
      </w:r>
    </w:p>
    <w:p>
      <w:pPr>
        <w:pStyle w:val="Heading2"/>
        <w:spacing w:after="140" w:before="280"/>
      </w:pPr>
      <w:r>
        <w:rPr>
          <w:rFonts w:ascii="Arial" w:cs="Arial" w:eastAsia="Arial" w:hAnsi="Arial"/>
          <w:b/>
          <w:bCs/>
          <w:color w:val="2E74B5"/>
          <w:sz w:val="24"/>
          <w:szCs w:val="24"/>
        </w:rPr>
        <w:t xml:space="preserve">1.2. Problématique</w:t>
      </w:r>
    </w:p>
    <w:p>
      <w:pPr>
        <w:spacing w:after="80" w:before="80"/>
        <w:jc w:val="both"/>
      </w:pPr>
      <w:r>
        <w:rPr>
          <w:rFonts w:ascii="Arial" w:cs="Arial" w:eastAsia="Arial" w:hAnsi="Arial"/>
          <w:color w:val="1A1A1A"/>
          <w:sz w:val="22"/>
          <w:szCs w:val="22"/>
        </w:rPr>
        <w:t xml:space="preserve">Comment numériser le processus de déclaration des événements culturels occasionnels au BBDA, tout en offrant une face publique moderne permettant de promouvoir ces événements auprès du grand public burkinabè ?</w:t>
      </w:r>
    </w:p>
    <w:p>
      <w:pPr>
        <w:pStyle w:val="Heading2"/>
        <w:spacing w:after="140" w:before="280"/>
      </w:pPr>
      <w:r>
        <w:rPr>
          <w:rFonts w:ascii="Arial" w:cs="Arial" w:eastAsia="Arial" w:hAnsi="Arial"/>
          <w:b/>
          <w:bCs/>
          <w:color w:val="2E74B5"/>
          <w:sz w:val="24"/>
          <w:szCs w:val="24"/>
        </w:rPr>
        <w:t xml:space="preserve">1.3. Objectif du projet</w:t>
      </w:r>
    </w:p>
    <w:p>
      <w:pPr>
        <w:spacing w:after="80" w:before="80"/>
        <w:jc w:val="both"/>
      </w:pPr>
      <w:r>
        <w:rPr>
          <w:rFonts w:ascii="Arial" w:cs="Arial" w:eastAsia="Arial" w:hAnsi="Arial"/>
          <w:color w:val="1A1A1A"/>
          <w:sz w:val="22"/>
          <w:szCs w:val="22"/>
        </w:rPr>
        <w:t xml:space="preserve">Concevoir et développer une plateforme web complète BBDA Events comprenant : (1) une face publique de découverte et de promotion des événements culturels, accessible à tous sans connexion ; (2) un espace privé permettant aux organisateurs de déclarer leurs événements, suivre leurs dossiers et télécharger leurs quittances ; (3) un espace agent pour le traitement des déclarations, la fixation des redevances et la gestion des arriérés ; (4) un espace administrateur pour la supervision globale.</w:t>
      </w:r>
    </w:p>
    <w:p>
      <w:pPr>
        <w:pStyle w:val="Heading2"/>
        <w:spacing w:after="140" w:before="280"/>
      </w:pPr>
      <w:r>
        <w:rPr>
          <w:rFonts w:ascii="Arial" w:cs="Arial" w:eastAsia="Arial" w:hAnsi="Arial"/>
          <w:b/>
          <w:bCs/>
          <w:color w:val="2E74B5"/>
          <w:sz w:val="24"/>
          <w:szCs w:val="24"/>
        </w:rPr>
        <w:t xml:space="preserve">1.4. Périmètre du projet</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0"/>
                <w:szCs w:val="20"/>
              </w:rPr>
              <w:t xml:space="preserve">📐 ARCHITECTURE</w:t>
            </w:r>
          </w:p>
          <w:p>
            <w:pPr>
              <w:spacing w:before="40"/>
              <w:jc w:val="both"/>
            </w:pPr>
            <w:r>
              <w:rPr>
                <w:rFonts w:ascii="Arial" w:cs="Arial" w:eastAsia="Arial" w:hAnsi="Arial"/>
                <w:color w:val="1A1A1A"/>
                <w:sz w:val="20"/>
                <w:szCs w:val="20"/>
              </w:rPr>
              <w:t xml:space="preserve">L'architecture est divisée en deux grandes parties : BACKEND (logique métier Python/Flask) et FRONTEND (interface utilisateur HTML/CSS/JS). Le développement commence par le backend, puis le frontend fonctionnel, et enfin la face publique.</w:t>
            </w:r>
          </w:p>
        </w:tc>
      </w:tr>
    </w:tbl>
    <w:p>
      <w:r>
        <w:t xml:space="preserve"/>
      </w:r>
    </w:p>
    <w:p>
      <w:pPr>
        <w:pStyle w:val="ListParagraph"/>
        <w:numPr>
          <w:ilvl w:val="0"/>
          <w:numId w:val="2"/>
        </w:numPr>
        <w:spacing w:after="60" w:before="60"/>
      </w:pPr>
      <w:r>
        <w:rPr>
          <w:rFonts w:ascii="Arial" w:cs="Arial" w:eastAsia="Arial" w:hAnsi="Arial"/>
          <w:color w:val="1A1A1A"/>
          <w:sz w:val="22"/>
          <w:szCs w:val="22"/>
        </w:rPr>
        <w:t xml:space="preserve">Plateforme web accessible depuis un navigateur standard (Chrome, Firefox)</w:t>
      </w:r>
    </w:p>
    <w:p>
      <w:pPr>
        <w:pStyle w:val="ListParagraph"/>
        <w:numPr>
          <w:ilvl w:val="0"/>
          <w:numId w:val="2"/>
        </w:numPr>
        <w:spacing w:after="60" w:before="60"/>
      </w:pPr>
      <w:r>
        <w:rPr>
          <w:rFonts w:ascii="Arial" w:cs="Arial" w:eastAsia="Arial" w:hAnsi="Arial"/>
          <w:color w:val="1A1A1A"/>
          <w:sz w:val="22"/>
          <w:szCs w:val="22"/>
        </w:rPr>
        <w:t xml:space="preserve">Face publique : accessible sans connexion — pages marketing, listing événements, support, légal</w:t>
      </w:r>
    </w:p>
    <w:p>
      <w:pPr>
        <w:pStyle w:val="ListParagraph"/>
        <w:numPr>
          <w:ilvl w:val="0"/>
          <w:numId w:val="2"/>
        </w:numPr>
        <w:spacing w:after="60" w:before="60"/>
      </w:pPr>
      <w:r>
        <w:rPr>
          <w:rFonts w:ascii="Arial" w:cs="Arial" w:eastAsia="Arial" w:hAnsi="Arial"/>
          <w:color w:val="1A1A1A"/>
          <w:sz w:val="22"/>
          <w:szCs w:val="22"/>
        </w:rPr>
        <w:t xml:space="preserve">Espace privé organisateur : déclaration, suivi, promotion d'événement, quittance PDF</w:t>
      </w:r>
    </w:p>
    <w:p>
      <w:pPr>
        <w:pStyle w:val="ListParagraph"/>
        <w:numPr>
          <w:ilvl w:val="0"/>
          <w:numId w:val="2"/>
        </w:numPr>
        <w:spacing w:after="60" w:before="60"/>
      </w:pPr>
      <w:r>
        <w:rPr>
          <w:rFonts w:ascii="Arial" w:cs="Arial" w:eastAsia="Arial" w:hAnsi="Arial"/>
          <w:color w:val="1A1A1A"/>
          <w:sz w:val="22"/>
          <w:szCs w:val="22"/>
        </w:rPr>
        <w:t xml:space="preserve">Espace agent BBDA : traitement des déclarations, redevances, arriérés, surveillance</w:t>
      </w:r>
    </w:p>
    <w:p>
      <w:pPr>
        <w:pStyle w:val="ListParagraph"/>
        <w:numPr>
          <w:ilvl w:val="0"/>
          <w:numId w:val="2"/>
        </w:numPr>
        <w:spacing w:after="60" w:before="60"/>
      </w:pPr>
      <w:r>
        <w:rPr>
          <w:rFonts w:ascii="Arial" w:cs="Arial" w:eastAsia="Arial" w:hAnsi="Arial"/>
          <w:color w:val="1A1A1A"/>
          <w:sz w:val="22"/>
          <w:szCs w:val="22"/>
        </w:rPr>
        <w:t xml:space="preserve">Espace administrateur : supervision, paramètres, statistiques</w:t>
      </w:r>
    </w:p>
    <w:p>
      <w:pPr>
        <w:pStyle w:val="ListParagraph"/>
        <w:numPr>
          <w:ilvl w:val="0"/>
          <w:numId w:val="2"/>
        </w:numPr>
        <w:spacing w:after="60" w:before="60"/>
      </w:pPr>
      <w:r>
        <w:rPr>
          <w:rFonts w:ascii="Arial" w:cs="Arial" w:eastAsia="Arial" w:hAnsi="Arial"/>
          <w:color w:val="1A1A1A"/>
          <w:sz w:val="22"/>
          <w:szCs w:val="22"/>
        </w:rPr>
        <w:t xml:space="preserve">Hors périmètre prototype : vente de billets en ligne (mentionnée comme perspective)</w:t>
      </w:r>
    </w:p>
    <w:p>
      <w:pPr>
        <w:pStyle w:val="ListParagraph"/>
        <w:numPr>
          <w:ilvl w:val="0"/>
          <w:numId w:val="2"/>
        </w:numPr>
        <w:spacing w:after="60" w:before="60"/>
      </w:pPr>
      <w:r>
        <w:rPr>
          <w:rFonts w:ascii="Arial" w:cs="Arial" w:eastAsia="Arial" w:hAnsi="Arial"/>
          <w:color w:val="1A1A1A"/>
          <w:sz w:val="22"/>
          <w:szCs w:val="22"/>
        </w:rPr>
        <w:t xml:space="preserve">Technologies : Python/Flask (backend), HTML5/CSS3/JavaScript (frontend), MySQL, ReportLab</w:t>
      </w:r>
    </w:p>
    <w:p>
      <w:pPr>
        <w:pageBreakBefore/>
      </w:pPr>
      <w:r>
        <w:t xml:space="preserve"/>
      </w:r>
    </w:p>
    <w:p>
      <w:pPr>
        <w:pStyle w:val="Heading1"/>
        <w:spacing w:after="200" w:before="400"/>
      </w:pPr>
      <w:r>
        <w:rPr>
          <w:rFonts w:ascii="Arial" w:cs="Arial" w:eastAsia="Arial" w:hAnsi="Arial"/>
          <w:b/>
          <w:bCs/>
          <w:color w:val="1F4E79"/>
          <w:sz w:val="28"/>
          <w:szCs w:val="28"/>
        </w:rPr>
        <w:t xml:space="preserve">2. Architecture globale de la plateforme</w:t>
      </w:r>
    </w:p>
    <w:p>
      <w:pPr>
        <w:pStyle w:val="Heading2"/>
        <w:spacing w:after="140" w:before="280"/>
      </w:pPr>
      <w:r>
        <w:rPr>
          <w:rFonts w:ascii="Arial" w:cs="Arial" w:eastAsia="Arial" w:hAnsi="Arial"/>
          <w:b/>
          <w:bCs/>
          <w:color w:val="2E74B5"/>
          <w:sz w:val="24"/>
          <w:szCs w:val="24"/>
        </w:rPr>
        <w:t xml:space="preserve">2.1. Vue d'ensemble</w:t>
      </w:r>
    </w:p>
    <w:p>
      <w:pPr>
        <w:spacing w:after="80" w:before="80"/>
        <w:jc w:val="both"/>
      </w:pPr>
      <w:r>
        <w:rPr>
          <w:rFonts w:ascii="Arial" w:cs="Arial" w:eastAsia="Arial" w:hAnsi="Arial"/>
          <w:color w:val="1A1A1A"/>
          <w:sz w:val="22"/>
          <w:szCs w:val="22"/>
        </w:rPr>
        <w:t xml:space="preserve">La plateforme BBDA Events est structurée en quatre espaces distincts, accessibles selon le profil de l'utilisateur, sur le modèle des plateformes africaines de gestion d'événements comme Veenue.io.</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Espace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Accès</w:t>
            </w:r>
          </w:p>
        </w:tc>
        <w:tc>
          <w:tcPr>
            <w:tcW w:type="dxa" w:w="38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Fonction principale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Face publique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Tout le monde (sans connexion)</w:t>
            </w:r>
          </w:p>
        </w:tc>
        <w:tc>
          <w:tcPr>
            <w:tcW w:type="dxa" w:w="3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Découvrir les événements, informations BBDA, contact, légal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Espace Organisateur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 connecté</w:t>
            </w:r>
          </w:p>
        </w:tc>
        <w:tc>
          <w:tcPr>
            <w:tcW w:type="dxa" w:w="3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Déclarer et suivre ses événements, télécharger ses quittances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Espace Agent BBDA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Agent connecté</w:t>
            </w:r>
          </w:p>
        </w:tc>
        <w:tc>
          <w:tcPr>
            <w:tcW w:type="dxa" w:w="3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Traiter les déclarations, fixer les redevances, gérer les arriérés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Espace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Administrateur connecté</w:t>
            </w:r>
          </w:p>
        </w:tc>
        <w:tc>
          <w:tcPr>
            <w:tcW w:type="dxa" w:w="3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Supervision globale, paramètres, statistiques</w:t>
            </w:r>
          </w:p>
        </w:tc>
      </w:tr>
    </w:tbl>
    <w:p>
      <w:pPr>
        <w:pStyle w:val="Heading2"/>
        <w:spacing w:after="140" w:before="280"/>
      </w:pPr>
      <w:r>
        <w:rPr>
          <w:rFonts w:ascii="Arial" w:cs="Arial" w:eastAsia="Arial" w:hAnsi="Arial"/>
          <w:b/>
          <w:bCs/>
          <w:color w:val="2E74B5"/>
          <w:sz w:val="24"/>
          <w:szCs w:val="24"/>
        </w:rPr>
        <w:t xml:space="preserve">2.2. Ordre de développement recommandé</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06"/>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Ordre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Partie</w:t>
            </w:r>
          </w:p>
        </w:tc>
        <w:tc>
          <w:tcPr>
            <w:tcW w:type="dxa" w:w="5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Raison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Backend complet</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Fondation de tout le projet — modèles, routes, logique métier, PDF, notifications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Frontend fonctionnel</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Templates HTML connectés au backend existant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Face publique</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Pages marketing/promotion ajoutées par-dessus le système fonctionnel</w:t>
            </w:r>
          </w:p>
        </w:tc>
      </w:tr>
    </w:tbl>
    <w:p>
      <w:pPr>
        <w:pageBreakBefore/>
      </w:pPr>
      <w:r>
        <w:t xml:space="preserve"/>
      </w:r>
    </w:p>
    <w:p>
      <w:pPr>
        <w:pStyle w:val="Heading1"/>
        <w:spacing w:after="200" w:before="400"/>
      </w:pPr>
      <w:r>
        <w:rPr>
          <w:rFonts w:ascii="Arial" w:cs="Arial" w:eastAsia="Arial" w:hAnsi="Arial"/>
          <w:b/>
          <w:bCs/>
          <w:color w:val="1F4E79"/>
          <w:sz w:val="28"/>
          <w:szCs w:val="28"/>
        </w:rPr>
        <w:t xml:space="preserve">3. Acteurs du système</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Acteur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52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Visiteur public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Non connecté</w:t>
            </w:r>
          </w:p>
        </w:tc>
        <w:tc>
          <w:tcPr>
            <w:tcW w:type="dxa" w:w="5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Consulte la face publique, découvre les événements promus, contacte le BBDA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Connecté</w:t>
            </w:r>
          </w:p>
        </w:tc>
        <w:tc>
          <w:tcPr>
            <w:tcW w:type="dxa" w:w="5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Déclare ses événements, choisit de les promouvoir publiquement, suit ses dossiers et quittances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Agent BBDA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Connecté</w:t>
            </w:r>
          </w:p>
        </w:tc>
        <w:tc>
          <w:tcPr>
            <w:tcW w:type="dxa" w:w="5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Reçoit et traite les déclarations, fixe les redevances manuellement, confirme les paiements, gère les arriérés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Administrateur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Connecté</w:t>
            </w:r>
          </w:p>
        </w:tc>
        <w:tc>
          <w:tcPr>
            <w:tcW w:type="dxa" w:w="5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Supervise la plateforme, gère les comptes, configure les paramètres, consulte les statistiques globales</w:t>
            </w:r>
          </w:p>
        </w:tc>
      </w:tr>
    </w:tbl>
    <w:p>
      <w:pPr>
        <w:pageBreakBefore/>
      </w:pPr>
      <w:r>
        <w:t xml:space="preserve"/>
      </w:r>
    </w:p>
    <w:p>
      <w:pPr>
        <w:pStyle w:val="Heading1"/>
        <w:spacing w:after="200" w:before="400"/>
      </w:pPr>
      <w:r>
        <w:rPr>
          <w:rFonts w:ascii="Arial" w:cs="Arial" w:eastAsia="Arial" w:hAnsi="Arial"/>
          <w:b/>
          <w:bCs/>
          <w:color w:val="1F4E79"/>
          <w:sz w:val="28"/>
          <w:szCs w:val="28"/>
        </w:rPr>
        <w:t xml:space="preserve">4. Face publique — Style Veenue.io adapté au BBDA</w:t>
      </w:r>
    </w:p>
    <w:p>
      <w:pPr>
        <w:spacing w:after="80" w:before="80"/>
        <w:jc w:val="both"/>
      </w:pPr>
      <w:r>
        <w:rPr>
          <w:rFonts w:ascii="Arial" w:cs="Arial" w:eastAsia="Arial" w:hAnsi="Arial"/>
          <w:color w:val="1A1A1A"/>
          <w:sz w:val="22"/>
          <w:szCs w:val="22"/>
        </w:rPr>
        <w:t xml:space="preserve">La face publique est accessible sans connexion. Elle reprend la structure et l'esprit de Veenue.io, en remplaçant toutes les informations Veenue par celles du BBDA. Le design est moderne, épuré, bilingue français/mooré optionnel, adapté au marché burkinabè.</w:t>
      </w:r>
    </w:p>
    <w:p>
      <w:pPr>
        <w:pStyle w:val="Heading2"/>
        <w:spacing w:after="140" w:before="280"/>
      </w:pPr>
      <w:r>
        <w:rPr>
          <w:rFonts w:ascii="Arial" w:cs="Arial" w:eastAsia="Arial" w:hAnsi="Arial"/>
          <w:b/>
          <w:bCs/>
          <w:color w:val="2E74B5"/>
          <w:sz w:val="24"/>
          <w:szCs w:val="24"/>
        </w:rPr>
        <w:t xml:space="preserve">4.1. Navigation principale (inspirée de Veenue.io)</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500"/>
        <w:gridCol w:w="650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Page Veenue.io</w:t>
            </w:r>
          </w:p>
        </w:tc>
        <w:tc>
          <w:tcPr>
            <w:tcW w:type="dxa" w:w="6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Équivalent BBDA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Home / Accueil</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Accueil BBDA Events — présentation de la plateforme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Événements (ajouté)</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Listing public des événements culturels promus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Support</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Support — FAQ et aide aux organisateurs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Contact Us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Contactez le BBDA — formulaire et coordonnées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Legal → Privacy Policy</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Politique de confidentialité BBDA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Legal → Terms &amp; Conditions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Conditions générales d'utilisation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Legal → Organizer Policy</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Politique de l'organisateur BBDA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Legal → Customer Policy</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Politique du public / spectateurs</w:t>
            </w:r>
          </w:p>
        </w:tc>
      </w:tr>
    </w:tbl>
    <w:p>
      <w:pPr>
        <w:pStyle w:val="Heading2"/>
        <w:spacing w:after="140" w:before="280"/>
      </w:pPr>
      <w:r>
        <w:rPr>
          <w:rFonts w:ascii="Arial" w:cs="Arial" w:eastAsia="Arial" w:hAnsi="Arial"/>
          <w:b/>
          <w:bCs/>
          <w:color w:val="2E74B5"/>
          <w:sz w:val="24"/>
          <w:szCs w:val="24"/>
        </w:rPr>
        <w:t xml:space="preserve">4.2. Page d'accueil publique</w:t>
      </w:r>
    </w:p>
    <w:p>
      <w:pPr>
        <w:pStyle w:val="Heading3"/>
        <w:spacing w:after="100" w:before="200"/>
      </w:pPr>
      <w:r>
        <w:rPr>
          <w:rFonts w:ascii="Arial" w:cs="Arial" w:eastAsia="Arial" w:hAnsi="Arial"/>
          <w:b/>
          <w:bCs/>
          <w:color w:val="444444"/>
          <w:sz w:val="22"/>
          <w:szCs w:val="22"/>
        </w:rPr>
        <w:t xml:space="preserve">Section Hero (grand bandeau d'entrée) :</w:t>
      </w:r>
    </w:p>
    <w:p>
      <w:pPr>
        <w:pStyle w:val="ListParagraph"/>
        <w:numPr>
          <w:ilvl w:val="0"/>
          <w:numId w:val="2"/>
        </w:numPr>
        <w:spacing w:after="60" w:before="60"/>
      </w:pPr>
      <w:r>
        <w:rPr>
          <w:rFonts w:ascii="Arial" w:cs="Arial" w:eastAsia="Arial" w:hAnsi="Arial"/>
          <w:color w:val="1A1A1A"/>
          <w:sz w:val="22"/>
          <w:szCs w:val="22"/>
        </w:rPr>
        <w:t xml:space="preserve">Logo BBDA à gauche dans la navbar</w:t>
      </w:r>
    </w:p>
    <w:p>
      <w:pPr>
        <w:pStyle w:val="ListParagraph"/>
        <w:numPr>
          <w:ilvl w:val="0"/>
          <w:numId w:val="2"/>
        </w:numPr>
        <w:spacing w:after="60" w:before="60"/>
      </w:pPr>
      <w:r>
        <w:rPr>
          <w:rFonts w:ascii="Arial" w:cs="Arial" w:eastAsia="Arial" w:hAnsi="Arial"/>
          <w:color w:val="1A1A1A"/>
          <w:sz w:val="22"/>
          <w:szCs w:val="22"/>
        </w:rPr>
        <w:t xml:space="preserve">Liens navbar : Accueil / Événements / Support / Contact / Légal / [Se connecter]</w:t>
      </w:r>
    </w:p>
    <w:p>
      <w:pPr>
        <w:pStyle w:val="ListParagraph"/>
        <w:numPr>
          <w:ilvl w:val="0"/>
          <w:numId w:val="2"/>
        </w:numPr>
        <w:spacing w:after="60" w:before="60"/>
      </w:pPr>
      <w:r>
        <w:rPr>
          <w:rFonts w:ascii="Arial" w:cs="Arial" w:eastAsia="Arial" w:hAnsi="Arial"/>
          <w:color w:val="1A1A1A"/>
          <w:sz w:val="22"/>
          <w:szCs w:val="22"/>
        </w:rPr>
        <w:t xml:space="preserve">Grand titre : "Plateforme de déclaration et de promotion des événements culturels"</w:t>
      </w:r>
    </w:p>
    <w:p>
      <w:pPr>
        <w:pStyle w:val="ListParagraph"/>
        <w:numPr>
          <w:ilvl w:val="0"/>
          <w:numId w:val="2"/>
        </w:numPr>
        <w:spacing w:after="60" w:before="60"/>
      </w:pPr>
      <w:r>
        <w:rPr>
          <w:rFonts w:ascii="Arial" w:cs="Arial" w:eastAsia="Arial" w:hAnsi="Arial"/>
          <w:color w:val="1A1A1A"/>
          <w:sz w:val="22"/>
          <w:szCs w:val="22"/>
        </w:rPr>
        <w:t xml:space="preserve">Slogan BBDA : "Déclarez. Promouvez. Célébrez." / "Declare. Promote. Celebrate."</w:t>
      </w:r>
    </w:p>
    <w:p>
      <w:pPr>
        <w:pStyle w:val="ListParagraph"/>
        <w:numPr>
          <w:ilvl w:val="0"/>
          <w:numId w:val="2"/>
        </w:numPr>
        <w:spacing w:after="60" w:before="60"/>
      </w:pPr>
      <w:r>
        <w:rPr>
          <w:rFonts w:ascii="Arial" w:cs="Arial" w:eastAsia="Arial" w:hAnsi="Arial"/>
          <w:color w:val="1A1A1A"/>
          <w:sz w:val="22"/>
          <w:szCs w:val="22"/>
        </w:rPr>
        <w:t xml:space="preserve">Sous-slogan : "Le BBDA, une clé pour l'épanouissement des créateurs"</w:t>
      </w:r>
    </w:p>
    <w:p>
      <w:pPr>
        <w:pStyle w:val="ListParagraph"/>
        <w:numPr>
          <w:ilvl w:val="0"/>
          <w:numId w:val="2"/>
        </w:numPr>
        <w:spacing w:after="60" w:before="60"/>
      </w:pPr>
      <w:r>
        <w:rPr>
          <w:rFonts w:ascii="Arial" w:cs="Arial" w:eastAsia="Arial" w:hAnsi="Arial"/>
          <w:color w:val="1A1A1A"/>
          <w:sz w:val="22"/>
          <w:szCs w:val="22"/>
        </w:rPr>
        <w:t xml:space="preserve">Deux boutons : [Déclarer mon événement →] et [Découvrir les événements]</w:t>
      </w:r>
    </w:p>
    <w:p>
      <w:pPr>
        <w:pStyle w:val="ListParagraph"/>
        <w:numPr>
          <w:ilvl w:val="0"/>
          <w:numId w:val="2"/>
        </w:numPr>
        <w:spacing w:after="60" w:before="60"/>
      </w:pPr>
      <w:r>
        <w:rPr>
          <w:rFonts w:ascii="Arial" w:cs="Arial" w:eastAsia="Arial" w:hAnsi="Arial"/>
          <w:color w:val="1A1A1A"/>
          <w:sz w:val="22"/>
          <w:szCs w:val="22"/>
        </w:rPr>
        <w:t xml:space="preserve">Image ou illustration d'ambiance culturelle burkinabè</w:t>
      </w:r>
    </w:p>
    <w:p>
      <w:pPr>
        <w:pStyle w:val="Heading3"/>
        <w:spacing w:after="100" w:before="200"/>
      </w:pPr>
      <w:r>
        <w:rPr>
          <w:rFonts w:ascii="Arial" w:cs="Arial" w:eastAsia="Arial" w:hAnsi="Arial"/>
          <w:b/>
          <w:bCs/>
          <w:color w:val="444444"/>
          <w:sz w:val="22"/>
          <w:szCs w:val="22"/>
        </w:rPr>
        <w:t xml:space="preserve">Section Présentation :</w:t>
      </w:r>
    </w:p>
    <w:p>
      <w:pPr>
        <w:pStyle w:val="ListParagraph"/>
        <w:numPr>
          <w:ilvl w:val="0"/>
          <w:numId w:val="2"/>
        </w:numPr>
        <w:spacing w:after="60" w:before="60"/>
      </w:pPr>
      <w:r>
        <w:rPr>
          <w:rFonts w:ascii="Arial" w:cs="Arial" w:eastAsia="Arial" w:hAnsi="Arial"/>
          <w:color w:val="1A1A1A"/>
          <w:sz w:val="22"/>
          <w:szCs w:val="22"/>
        </w:rPr>
        <w:t xml:space="preserve">Titre : "Qu'est-ce que BBDA Events ?"</w:t>
      </w:r>
    </w:p>
    <w:p>
      <w:pPr>
        <w:pStyle w:val="ListParagraph"/>
        <w:numPr>
          <w:ilvl w:val="0"/>
          <w:numId w:val="2"/>
        </w:numPr>
        <w:spacing w:after="60" w:before="60"/>
      </w:pPr>
      <w:r>
        <w:rPr>
          <w:rFonts w:ascii="Arial" w:cs="Arial" w:eastAsia="Arial" w:hAnsi="Arial"/>
          <w:color w:val="1A1A1A"/>
          <w:sz w:val="22"/>
          <w:szCs w:val="22"/>
        </w:rPr>
        <w:t xml:space="preserve">Texte : description de la plateforme et du rôle du BBDA</w:t>
      </w:r>
    </w:p>
    <w:p>
      <w:pPr>
        <w:pStyle w:val="ListParagraph"/>
        <w:numPr>
          <w:ilvl w:val="0"/>
          <w:numId w:val="2"/>
        </w:numPr>
        <w:spacing w:after="60" w:before="60"/>
      </w:pPr>
      <w:r>
        <w:rPr>
          <w:rFonts w:ascii="Arial" w:cs="Arial" w:eastAsia="Arial" w:hAnsi="Arial"/>
          <w:color w:val="1A1A1A"/>
          <w:sz w:val="22"/>
          <w:szCs w:val="22"/>
        </w:rPr>
        <w:t xml:space="preserve">3 cartes illustrées : 📝 Déclarez → 📧 Recevez votre montant → 📄 Payez et téléchargez</w:t>
      </w:r>
    </w:p>
    <w:p>
      <w:pPr>
        <w:pStyle w:val="Heading3"/>
        <w:spacing w:after="100" w:before="200"/>
      </w:pPr>
      <w:r>
        <w:rPr>
          <w:rFonts w:ascii="Arial" w:cs="Arial" w:eastAsia="Arial" w:hAnsi="Arial"/>
          <w:b/>
          <w:bCs/>
          <w:color w:val="444444"/>
          <w:sz w:val="22"/>
          <w:szCs w:val="22"/>
        </w:rPr>
        <w:t xml:space="preserve">Section Solutions :</w:t>
      </w:r>
    </w:p>
    <w:p>
      <w:pPr>
        <w:pStyle w:val="ListParagraph"/>
        <w:numPr>
          <w:ilvl w:val="0"/>
          <w:numId w:val="2"/>
        </w:numPr>
        <w:spacing w:after="60" w:before="60"/>
      </w:pPr>
      <w:r>
        <w:rPr>
          <w:rFonts w:ascii="Arial" w:cs="Arial" w:eastAsia="Arial" w:hAnsi="Arial"/>
          <w:color w:val="1A1A1A"/>
          <w:sz w:val="22"/>
          <w:szCs w:val="22"/>
        </w:rPr>
        <w:t xml:space="preserve">Pour les organisateurs : déclaration en ligne, suivi des dossiers, quittance numérique, promotion de l'événement</w:t>
      </w:r>
    </w:p>
    <w:p>
      <w:pPr>
        <w:pStyle w:val="ListParagraph"/>
        <w:numPr>
          <w:ilvl w:val="0"/>
          <w:numId w:val="2"/>
        </w:numPr>
        <w:spacing w:after="60" w:before="60"/>
      </w:pPr>
      <w:r>
        <w:rPr>
          <w:rFonts w:ascii="Arial" w:cs="Arial" w:eastAsia="Arial" w:hAnsi="Arial"/>
          <w:color w:val="1A1A1A"/>
          <w:sz w:val="22"/>
          <w:szCs w:val="22"/>
        </w:rPr>
        <w:t xml:space="preserve">Pour le public : découverte des événements culturels burkinabè</w:t>
      </w:r>
    </w:p>
    <w:p>
      <w:pPr>
        <w:pStyle w:val="ListParagraph"/>
        <w:numPr>
          <w:ilvl w:val="0"/>
          <w:numId w:val="2"/>
        </w:numPr>
        <w:spacing w:after="60" w:before="60"/>
      </w:pPr>
      <w:r>
        <w:rPr>
          <w:rFonts w:ascii="Arial" w:cs="Arial" w:eastAsia="Arial" w:hAnsi="Arial"/>
          <w:color w:val="1A1A1A"/>
          <w:sz w:val="22"/>
          <w:szCs w:val="22"/>
        </w:rPr>
        <w:t xml:space="preserve">Pour le BBDA : gestion centralisée, suivi des redevances, tableau de bord statistiques</w:t>
      </w:r>
    </w:p>
    <w:p>
      <w:pPr>
        <w:pStyle w:val="Heading3"/>
        <w:spacing w:after="100" w:before="200"/>
      </w:pPr>
      <w:r>
        <w:rPr>
          <w:rFonts w:ascii="Arial" w:cs="Arial" w:eastAsia="Arial" w:hAnsi="Arial"/>
          <w:b/>
          <w:bCs/>
          <w:color w:val="444444"/>
          <w:sz w:val="22"/>
          <w:szCs w:val="22"/>
        </w:rPr>
        <w:t xml:space="preserve">Section Informations légales BBDA :</w:t>
      </w:r>
    </w:p>
    <w:p>
      <w:pPr>
        <w:pStyle w:val="ListParagraph"/>
        <w:numPr>
          <w:ilvl w:val="0"/>
          <w:numId w:val="2"/>
        </w:numPr>
        <w:spacing w:after="60" w:before="60"/>
      </w:pPr>
      <w:r>
        <w:rPr>
          <w:rFonts w:ascii="Arial" w:cs="Arial" w:eastAsia="Arial" w:hAnsi="Arial"/>
          <w:color w:val="1A1A1A"/>
          <w:sz w:val="22"/>
          <w:szCs w:val="22"/>
        </w:rPr>
        <w:t xml:space="preserve">Présentation du BBDA (institution publique, rôle, mission)</w:t>
      </w:r>
    </w:p>
    <w:p>
      <w:pPr>
        <w:pStyle w:val="ListParagraph"/>
        <w:numPr>
          <w:ilvl w:val="0"/>
          <w:numId w:val="2"/>
        </w:numPr>
        <w:spacing w:after="60" w:before="60"/>
      </w:pPr>
      <w:r>
        <w:rPr>
          <w:rFonts w:ascii="Arial" w:cs="Arial" w:eastAsia="Arial" w:hAnsi="Arial"/>
          <w:color w:val="1A1A1A"/>
          <w:sz w:val="22"/>
          <w:szCs w:val="22"/>
        </w:rPr>
        <w:t xml:space="preserve">Lien vers les pages légales</w:t>
      </w:r>
    </w:p>
    <w:p>
      <w:pPr>
        <w:pStyle w:val="Heading3"/>
        <w:spacing w:after="100" w:before="200"/>
      </w:pPr>
      <w:r>
        <w:rPr>
          <w:rFonts w:ascii="Arial" w:cs="Arial" w:eastAsia="Arial" w:hAnsi="Arial"/>
          <w:b/>
          <w:bCs/>
          <w:color w:val="444444"/>
          <w:sz w:val="22"/>
          <w:szCs w:val="22"/>
        </w:rPr>
        <w:t xml:space="preserve">Footer :</w:t>
      </w:r>
    </w:p>
    <w:p>
      <w:pPr>
        <w:pStyle w:val="ListParagraph"/>
        <w:numPr>
          <w:ilvl w:val="0"/>
          <w:numId w:val="2"/>
        </w:numPr>
        <w:spacing w:after="60" w:before="60"/>
      </w:pPr>
      <w:r>
        <w:rPr>
          <w:rFonts w:ascii="Arial" w:cs="Arial" w:eastAsia="Arial" w:hAnsi="Arial"/>
          <w:color w:val="1A1A1A"/>
          <w:sz w:val="22"/>
          <w:szCs w:val="22"/>
        </w:rPr>
        <w:t xml:space="preserve">Logo BBDA + slogan</w:t>
      </w:r>
    </w:p>
    <w:p>
      <w:pPr>
        <w:pStyle w:val="ListParagraph"/>
        <w:numPr>
          <w:ilvl w:val="0"/>
          <w:numId w:val="2"/>
        </w:numPr>
        <w:spacing w:after="60" w:before="60"/>
      </w:pPr>
      <w:r>
        <w:rPr>
          <w:rFonts w:ascii="Arial" w:cs="Arial" w:eastAsia="Arial" w:hAnsi="Arial"/>
          <w:color w:val="1A1A1A"/>
          <w:sz w:val="22"/>
          <w:szCs w:val="22"/>
        </w:rPr>
        <w:t xml:space="preserve">Liens : Politique de confidentialité / CGU / Politique de l'organisateur</w:t>
      </w:r>
    </w:p>
    <w:p>
      <w:pPr>
        <w:pStyle w:val="ListParagraph"/>
        <w:numPr>
          <w:ilvl w:val="0"/>
          <w:numId w:val="2"/>
        </w:numPr>
        <w:spacing w:after="60" w:before="60"/>
      </w:pPr>
      <w:r>
        <w:rPr>
          <w:rFonts w:ascii="Arial" w:cs="Arial" w:eastAsia="Arial" w:hAnsi="Arial"/>
          <w:color w:val="1A1A1A"/>
          <w:sz w:val="22"/>
          <w:szCs w:val="22"/>
        </w:rPr>
        <w:t xml:space="preserve">Coordonnées BBDA : 01 BP 3926 Ouagadougou 01 — Tél : 25 32 47 50</w:t>
      </w:r>
    </w:p>
    <w:p>
      <w:pPr>
        <w:pStyle w:val="ListParagraph"/>
        <w:numPr>
          <w:ilvl w:val="0"/>
          <w:numId w:val="2"/>
        </w:numPr>
        <w:spacing w:after="60" w:before="60"/>
      </w:pPr>
      <w:r>
        <w:rPr>
          <w:rFonts w:ascii="Arial" w:cs="Arial" w:eastAsia="Arial" w:hAnsi="Arial"/>
          <w:color w:val="1A1A1A"/>
          <w:sz w:val="22"/>
          <w:szCs w:val="22"/>
        </w:rPr>
        <w:t xml:space="preserve">Copyright © 2026 BBDA Events. Tous droits réservés.</w:t>
      </w:r>
    </w:p>
    <w:p>
      <w:pPr>
        <w:pStyle w:val="Heading2"/>
        <w:spacing w:after="140" w:before="280"/>
      </w:pPr>
      <w:r>
        <w:rPr>
          <w:rFonts w:ascii="Arial" w:cs="Arial" w:eastAsia="Arial" w:hAnsi="Arial"/>
          <w:b/>
          <w:bCs/>
          <w:color w:val="2E74B5"/>
          <w:sz w:val="24"/>
          <w:szCs w:val="24"/>
        </w:rPr>
        <w:t xml:space="preserve">4.3. Page Événements (listing public)</w:t>
      </w:r>
    </w:p>
    <w:p>
      <w:pPr>
        <w:spacing w:after="80" w:before="80"/>
        <w:jc w:val="both"/>
      </w:pPr>
      <w:r>
        <w:rPr>
          <w:rFonts w:ascii="Arial" w:cs="Arial" w:eastAsia="Arial" w:hAnsi="Arial"/>
          <w:color w:val="1A1A1A"/>
          <w:sz w:val="22"/>
          <w:szCs w:val="22"/>
        </w:rPr>
        <w:t xml:space="preserve">Cette page affiche tous les événements dont l'organisateur a choisi de cocher 'Promouvoir publiquement mon événement' lors de la déclaration.</w:t>
      </w:r>
    </w:p>
    <w:p>
      <w:pPr>
        <w:pStyle w:val="ListParagraph"/>
        <w:numPr>
          <w:ilvl w:val="0"/>
          <w:numId w:val="2"/>
        </w:numPr>
        <w:spacing w:after="60" w:before="60"/>
      </w:pPr>
      <w:r>
        <w:rPr>
          <w:rFonts w:ascii="Arial" w:cs="Arial" w:eastAsia="Arial" w:hAnsi="Arial"/>
          <w:color w:val="1A1A1A"/>
          <w:sz w:val="22"/>
          <w:szCs w:val="22"/>
        </w:rPr>
        <w:t xml:space="preserve">Barre de recherche : par ville, type d'événement, date</w:t>
      </w:r>
    </w:p>
    <w:p>
      <w:pPr>
        <w:pStyle w:val="ListParagraph"/>
        <w:numPr>
          <w:ilvl w:val="0"/>
          <w:numId w:val="2"/>
        </w:numPr>
        <w:spacing w:after="60" w:before="60"/>
      </w:pPr>
      <w:r>
        <w:rPr>
          <w:rFonts w:ascii="Arial" w:cs="Arial" w:eastAsia="Arial" w:hAnsi="Arial"/>
          <w:color w:val="1A1A1A"/>
          <w:sz w:val="22"/>
          <w:szCs w:val="22"/>
        </w:rPr>
        <w:t xml:space="preserve">Filtres : Concert / Festival / Spectacle / Gala / Soirée culturelle / Exposition</w:t>
      </w:r>
    </w:p>
    <w:p>
      <w:pPr>
        <w:pStyle w:val="ListParagraph"/>
        <w:numPr>
          <w:ilvl w:val="0"/>
          <w:numId w:val="2"/>
        </w:numPr>
        <w:spacing w:after="60" w:before="60"/>
      </w:pPr>
      <w:r>
        <w:rPr>
          <w:rFonts w:ascii="Arial" w:cs="Arial" w:eastAsia="Arial" w:hAnsi="Arial"/>
          <w:color w:val="1A1A1A"/>
          <w:sz w:val="22"/>
          <w:szCs w:val="22"/>
        </w:rPr>
        <w:t xml:space="preserve">Grille de cartes événements : affiche, nom de l'événement, date, lieu, ville, artiste principal</w:t>
      </w:r>
    </w:p>
    <w:p>
      <w:pPr>
        <w:pStyle w:val="ListParagraph"/>
        <w:numPr>
          <w:ilvl w:val="0"/>
          <w:numId w:val="2"/>
        </w:numPr>
        <w:spacing w:after="60" w:before="60"/>
      </w:pPr>
      <w:r>
        <w:rPr>
          <w:rFonts w:ascii="Arial" w:cs="Arial" w:eastAsia="Arial" w:hAnsi="Arial"/>
          <w:color w:val="1A1A1A"/>
          <w:sz w:val="22"/>
          <w:szCs w:val="22"/>
        </w:rPr>
        <w:t xml:space="preserve">Clic sur une carte → page détail de l'événement</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single" w:color="CCCCCC" w:sz="1"/>
              <w:left w:val="single" w:color="CCCCCC" w:sz="1"/>
              <w:bottom w:val="single" w:color="CCCCCC" w:sz="1"/>
              <w:right w:val="single" w:color="CCCCCC" w:sz="1"/>
            </w:tcBorders>
            <w:shd w:fill="FBE9E9" w:val="clear"/>
            <w:tcMar>
              <w:top w:type="dxa" w:w="100"/>
              <w:left w:type="dxa" w:w="180"/>
              <w:bottom w:type="dxa" w:w="100"/>
              <w:right w:type="dxa" w:w="180"/>
            </w:tcMar>
          </w:tcPr>
          <w:p>
            <w:r>
              <w:rPr>
                <w:rFonts w:ascii="Arial" w:cs="Arial" w:eastAsia="Arial" w:hAnsi="Arial"/>
                <w:b/>
                <w:bCs/>
                <w:color w:val="B00020"/>
                <w:sz w:val="20"/>
                <w:szCs w:val="20"/>
              </w:rPr>
              <w:t xml:space="preserve">🔒 RÈGLE IMPORTANTE</w:t>
            </w:r>
          </w:p>
          <w:p>
            <w:pPr>
              <w:spacing w:before="40"/>
              <w:jc w:val="both"/>
            </w:pPr>
            <w:r>
              <w:rPr>
                <w:rFonts w:ascii="Arial" w:cs="Arial" w:eastAsia="Arial" w:hAnsi="Arial"/>
                <w:color w:val="1A1A1A"/>
                <w:sz w:val="20"/>
                <w:szCs w:val="20"/>
              </w:rPr>
              <w:t xml:space="preserve">Seuls les événements avec statut 'quittance_delivree' ET option 'promouvoir=True' sont affichés publiquement. Un événement non payé n'apparaît jamais dans le listing public.</w:t>
            </w:r>
          </w:p>
        </w:tc>
      </w:tr>
    </w:tbl>
    <w:p>
      <w:pPr>
        <w:pStyle w:val="Heading2"/>
        <w:spacing w:after="140" w:before="280"/>
      </w:pPr>
      <w:r>
        <w:rPr>
          <w:rFonts w:ascii="Arial" w:cs="Arial" w:eastAsia="Arial" w:hAnsi="Arial"/>
          <w:b/>
          <w:bCs/>
          <w:color w:val="2E74B5"/>
          <w:sz w:val="24"/>
          <w:szCs w:val="24"/>
        </w:rPr>
        <w:t xml:space="preserve">4.4. Page Détail d'un événement (publique)</w:t>
      </w:r>
    </w:p>
    <w:p>
      <w:pPr>
        <w:pStyle w:val="ListParagraph"/>
        <w:numPr>
          <w:ilvl w:val="0"/>
          <w:numId w:val="2"/>
        </w:numPr>
        <w:spacing w:after="60" w:before="60"/>
      </w:pPr>
      <w:r>
        <w:rPr>
          <w:rFonts w:ascii="Arial" w:cs="Arial" w:eastAsia="Arial" w:hAnsi="Arial"/>
          <w:color w:val="1A1A1A"/>
          <w:sz w:val="22"/>
          <w:szCs w:val="22"/>
        </w:rPr>
        <w:t xml:space="preserve">Affiche / image de l'événement</w:t>
      </w:r>
    </w:p>
    <w:p>
      <w:pPr>
        <w:pStyle w:val="ListParagraph"/>
        <w:numPr>
          <w:ilvl w:val="0"/>
          <w:numId w:val="2"/>
        </w:numPr>
        <w:spacing w:after="60" w:before="60"/>
      </w:pPr>
      <w:r>
        <w:rPr>
          <w:rFonts w:ascii="Arial" w:cs="Arial" w:eastAsia="Arial" w:hAnsi="Arial"/>
          <w:color w:val="1A1A1A"/>
          <w:sz w:val="22"/>
          <w:szCs w:val="22"/>
        </w:rPr>
        <w:t xml:space="preserve">Nom de l'événement, nature, date et heure, durée</w:t>
      </w:r>
    </w:p>
    <w:p>
      <w:pPr>
        <w:pStyle w:val="ListParagraph"/>
        <w:numPr>
          <w:ilvl w:val="0"/>
          <w:numId w:val="2"/>
        </w:numPr>
        <w:spacing w:after="60" w:before="60"/>
      </w:pPr>
      <w:r>
        <w:rPr>
          <w:rFonts w:ascii="Arial" w:cs="Arial" w:eastAsia="Arial" w:hAnsi="Arial"/>
          <w:color w:val="1A1A1A"/>
          <w:sz w:val="22"/>
          <w:szCs w:val="22"/>
        </w:rPr>
        <w:t xml:space="preserve">Lieu : nom de la salle, adresse, ville</w:t>
      </w:r>
    </w:p>
    <w:p>
      <w:pPr>
        <w:pStyle w:val="ListParagraph"/>
        <w:numPr>
          <w:ilvl w:val="0"/>
          <w:numId w:val="2"/>
        </w:numPr>
        <w:spacing w:after="60" w:before="60"/>
      </w:pPr>
      <w:r>
        <w:rPr>
          <w:rFonts w:ascii="Arial" w:cs="Arial" w:eastAsia="Arial" w:hAnsi="Arial"/>
          <w:color w:val="1A1A1A"/>
          <w:sz w:val="22"/>
          <w:szCs w:val="22"/>
        </w:rPr>
        <w:t xml:space="preserve">Artiste(s) / groupe(s) prévu(s)</w:t>
      </w:r>
    </w:p>
    <w:p>
      <w:pPr>
        <w:pStyle w:val="ListParagraph"/>
        <w:numPr>
          <w:ilvl w:val="0"/>
          <w:numId w:val="2"/>
        </w:numPr>
        <w:spacing w:after="60" w:before="60"/>
      </w:pPr>
      <w:r>
        <w:rPr>
          <w:rFonts w:ascii="Arial" w:cs="Arial" w:eastAsia="Arial" w:hAnsi="Arial"/>
          <w:color w:val="1A1A1A"/>
          <w:sz w:val="22"/>
          <w:szCs w:val="22"/>
        </w:rPr>
        <w:t xml:space="preserve">Type de diffusion musicale</w:t>
      </w:r>
    </w:p>
    <w:p>
      <w:pPr>
        <w:pStyle w:val="ListParagraph"/>
        <w:numPr>
          <w:ilvl w:val="0"/>
          <w:numId w:val="2"/>
        </w:numPr>
        <w:spacing w:after="60" w:before="60"/>
      </w:pPr>
      <w:r>
        <w:rPr>
          <w:rFonts w:ascii="Arial" w:cs="Arial" w:eastAsia="Arial" w:hAnsi="Arial"/>
          <w:color w:val="1A1A1A"/>
          <w:sz w:val="22"/>
          <w:szCs w:val="22"/>
        </w:rPr>
        <w:t xml:space="preserve">Entrée : Payante / Gratuite</w:t>
      </w:r>
    </w:p>
    <w:p>
      <w:pPr>
        <w:pStyle w:val="ListParagraph"/>
        <w:numPr>
          <w:ilvl w:val="0"/>
          <w:numId w:val="2"/>
        </w:numPr>
        <w:spacing w:after="60" w:before="60"/>
      </w:pPr>
      <w:r>
        <w:rPr>
          <w:rFonts w:ascii="Arial" w:cs="Arial" w:eastAsia="Arial" w:hAnsi="Arial"/>
          <w:color w:val="1A1A1A"/>
          <w:sz w:val="22"/>
          <w:szCs w:val="22"/>
        </w:rPr>
        <w:t xml:space="preserve">Description / autres détails fournis par l'organisateur</w:t>
      </w:r>
    </w:p>
    <w:p>
      <w:pPr>
        <w:pStyle w:val="ListParagraph"/>
        <w:numPr>
          <w:ilvl w:val="0"/>
          <w:numId w:val="2"/>
        </w:numPr>
        <w:spacing w:after="60" w:before="60"/>
      </w:pPr>
      <w:r>
        <w:rPr>
          <w:rFonts w:ascii="Arial" w:cs="Arial" w:eastAsia="Arial" w:hAnsi="Arial"/>
          <w:color w:val="1A1A1A"/>
          <w:sz w:val="22"/>
          <w:szCs w:val="22"/>
        </w:rPr>
        <w:t xml:space="preserve">Contact de l'organisateur (si l'organisateur a choisi de le rendre visible)</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single" w:color="CCCCCC" w:sz="1"/>
              <w:left w:val="single" w:color="CCCCCC" w:sz="1"/>
              <w:bottom w:val="single" w:color="CCCCCC" w:sz="1"/>
              <w:right w:val="single" w:color="CCCCCC" w:sz="1"/>
            </w:tcBorders>
            <w:shd w:fill="F3E5F5" w:val="clear"/>
            <w:tcMar>
              <w:top w:type="dxa" w:w="80"/>
              <w:left w:type="dxa" w:w="180"/>
              <w:bottom w:type="dxa" w:w="80"/>
              <w:right w:type="dxa" w:w="180"/>
            </w:tcMar>
          </w:tcPr>
          <w:p>
            <w:r>
              <w:rPr>
                <w:rFonts w:ascii="Arial" w:cs="Arial" w:eastAsia="Arial" w:hAnsi="Arial"/>
                <w:b/>
                <w:bCs/>
                <w:color w:val="4A235A"/>
                <w:sz w:val="20"/>
                <w:szCs w:val="20"/>
              </w:rPr>
              <w:t xml:space="preserve">🔮 PERSPECTIVE D'ÉVOLUTION : </w:t>
            </w:r>
            <w:r>
              <w:rPr>
                <w:rFonts w:ascii="Arial" w:cs="Arial" w:eastAsia="Arial" w:hAnsi="Arial"/>
                <w:color w:val="1A1A1A"/>
                <w:sz w:val="20"/>
                <w:szCs w:val="20"/>
              </w:rPr>
              <w:t xml:space="preserve">Bouton 'Acheter un billet' — fonctionnalité de billetterie en ligne prévue comme évolution future, nécessitant l'intégration d'une API de paiement mobile (Orange Money, Moov Money).</w:t>
            </w:r>
          </w:p>
        </w:tc>
      </w:tr>
    </w:tbl>
    <w:p>
      <w:pPr>
        <w:pStyle w:val="Heading2"/>
        <w:spacing w:after="140" w:before="280"/>
      </w:pPr>
      <w:r>
        <w:rPr>
          <w:rFonts w:ascii="Arial" w:cs="Arial" w:eastAsia="Arial" w:hAnsi="Arial"/>
          <w:b/>
          <w:bCs/>
          <w:color w:val="2E74B5"/>
          <w:sz w:val="24"/>
          <w:szCs w:val="24"/>
        </w:rPr>
        <w:t xml:space="preserve">4.5. Page Support</w:t>
      </w:r>
    </w:p>
    <w:p>
      <w:pPr>
        <w:pStyle w:val="ListParagraph"/>
        <w:numPr>
          <w:ilvl w:val="0"/>
          <w:numId w:val="2"/>
        </w:numPr>
        <w:spacing w:after="60" w:before="60"/>
      </w:pPr>
      <w:r>
        <w:rPr>
          <w:rFonts w:ascii="Arial" w:cs="Arial" w:eastAsia="Arial" w:hAnsi="Arial"/>
          <w:color w:val="1A1A1A"/>
          <w:sz w:val="22"/>
          <w:szCs w:val="22"/>
        </w:rPr>
        <w:t xml:space="preserve">FAQ : questions fréquentes des organisateurs (comment déclarer, délais, redevances...)</w:t>
      </w:r>
    </w:p>
    <w:p>
      <w:pPr>
        <w:pStyle w:val="ListParagraph"/>
        <w:numPr>
          <w:ilvl w:val="0"/>
          <w:numId w:val="2"/>
        </w:numPr>
        <w:spacing w:after="60" w:before="60"/>
      </w:pPr>
      <w:r>
        <w:rPr>
          <w:rFonts w:ascii="Arial" w:cs="Arial" w:eastAsia="Arial" w:hAnsi="Arial"/>
          <w:color w:val="1A1A1A"/>
          <w:sz w:val="22"/>
          <w:szCs w:val="22"/>
        </w:rPr>
        <w:t xml:space="preserve">Guides téléchargeables (PDF) sur le processus de déclaration</w:t>
      </w:r>
    </w:p>
    <w:p>
      <w:pPr>
        <w:pStyle w:val="ListParagraph"/>
        <w:numPr>
          <w:ilvl w:val="0"/>
          <w:numId w:val="2"/>
        </w:numPr>
        <w:spacing w:after="60" w:before="60"/>
      </w:pPr>
      <w:r>
        <w:rPr>
          <w:rFonts w:ascii="Arial" w:cs="Arial" w:eastAsia="Arial" w:hAnsi="Arial"/>
          <w:color w:val="1A1A1A"/>
          <w:sz w:val="22"/>
          <w:szCs w:val="22"/>
        </w:rPr>
        <w:t xml:space="preserve">Lien vers le formulaire de contact</w:t>
      </w:r>
    </w:p>
    <w:p>
      <w:pPr>
        <w:pStyle w:val="Heading2"/>
        <w:spacing w:after="140" w:before="280"/>
      </w:pPr>
      <w:r>
        <w:rPr>
          <w:rFonts w:ascii="Arial" w:cs="Arial" w:eastAsia="Arial" w:hAnsi="Arial"/>
          <w:b/>
          <w:bCs/>
          <w:color w:val="2E74B5"/>
          <w:sz w:val="24"/>
          <w:szCs w:val="24"/>
        </w:rPr>
        <w:t xml:space="preserve">4.6. Page Contact</w:t>
      </w:r>
    </w:p>
    <w:p>
      <w:pPr>
        <w:pStyle w:val="ListParagraph"/>
        <w:numPr>
          <w:ilvl w:val="0"/>
          <w:numId w:val="2"/>
        </w:numPr>
        <w:spacing w:after="60" w:before="60"/>
      </w:pPr>
      <w:r>
        <w:rPr>
          <w:rFonts w:ascii="Arial" w:cs="Arial" w:eastAsia="Arial" w:hAnsi="Arial"/>
          <w:color w:val="1A1A1A"/>
          <w:sz w:val="22"/>
          <w:szCs w:val="22"/>
        </w:rPr>
        <w:t xml:space="preserve">Formulaire de contact : nom, email, sujet, message</w:t>
      </w:r>
    </w:p>
    <w:p>
      <w:pPr>
        <w:pStyle w:val="ListParagraph"/>
        <w:numPr>
          <w:ilvl w:val="0"/>
          <w:numId w:val="2"/>
        </w:numPr>
        <w:spacing w:after="60" w:before="60"/>
      </w:pPr>
      <w:r>
        <w:rPr>
          <w:rFonts w:ascii="Arial" w:cs="Arial" w:eastAsia="Arial" w:hAnsi="Arial"/>
          <w:color w:val="1A1A1A"/>
          <w:sz w:val="22"/>
          <w:szCs w:val="22"/>
        </w:rPr>
        <w:t xml:space="preserve">Coordonnées complètes du BBDA (adresse, téléphone, email)</w:t>
      </w:r>
    </w:p>
    <w:p>
      <w:pPr>
        <w:pStyle w:val="ListParagraph"/>
        <w:numPr>
          <w:ilvl w:val="0"/>
          <w:numId w:val="2"/>
        </w:numPr>
        <w:spacing w:after="60" w:before="60"/>
      </w:pPr>
      <w:r>
        <w:rPr>
          <w:rFonts w:ascii="Arial" w:cs="Arial" w:eastAsia="Arial" w:hAnsi="Arial"/>
          <w:color w:val="1A1A1A"/>
          <w:sz w:val="22"/>
          <w:szCs w:val="22"/>
        </w:rPr>
        <w:t xml:space="preserve">Carte ou plan d'accès (image statique)</w:t>
      </w:r>
    </w:p>
    <w:p>
      <w:pPr>
        <w:pStyle w:val="ListParagraph"/>
        <w:numPr>
          <w:ilvl w:val="0"/>
          <w:numId w:val="2"/>
        </w:numPr>
        <w:spacing w:after="60" w:before="60"/>
      </w:pPr>
      <w:r>
        <w:rPr>
          <w:rFonts w:ascii="Arial" w:cs="Arial" w:eastAsia="Arial" w:hAnsi="Arial"/>
          <w:color w:val="1A1A1A"/>
          <w:sz w:val="22"/>
          <w:szCs w:val="22"/>
        </w:rPr>
        <w:t xml:space="preserve">Horaires d'ouverture du guichet</w:t>
      </w:r>
    </w:p>
    <w:p>
      <w:pPr>
        <w:pStyle w:val="Heading2"/>
        <w:spacing w:after="140" w:before="280"/>
      </w:pPr>
      <w:r>
        <w:rPr>
          <w:rFonts w:ascii="Arial" w:cs="Arial" w:eastAsia="Arial" w:hAnsi="Arial"/>
          <w:b/>
          <w:bCs/>
          <w:color w:val="2E74B5"/>
          <w:sz w:val="24"/>
          <w:szCs w:val="24"/>
        </w:rPr>
        <w:t xml:space="preserve">4.7. Pages Légales</w:t>
      </w:r>
    </w:p>
    <w:p>
      <w:pPr>
        <w:pStyle w:val="ListParagraph"/>
        <w:numPr>
          <w:ilvl w:val="0"/>
          <w:numId w:val="2"/>
        </w:numPr>
        <w:spacing w:after="60" w:before="60"/>
      </w:pPr>
      <w:r>
        <w:rPr>
          <w:rFonts w:ascii="Arial" w:cs="Arial" w:eastAsia="Arial" w:hAnsi="Arial"/>
          <w:color w:val="1A1A1A"/>
          <w:sz w:val="22"/>
          <w:szCs w:val="22"/>
        </w:rPr>
        <w:t xml:space="preserve">Politique de confidentialité BBDA (traitement des données personnelles)</w:t>
      </w:r>
    </w:p>
    <w:p>
      <w:pPr>
        <w:pStyle w:val="ListParagraph"/>
        <w:numPr>
          <w:ilvl w:val="0"/>
          <w:numId w:val="2"/>
        </w:numPr>
        <w:spacing w:after="60" w:before="60"/>
      </w:pPr>
      <w:r>
        <w:rPr>
          <w:rFonts w:ascii="Arial" w:cs="Arial" w:eastAsia="Arial" w:hAnsi="Arial"/>
          <w:color w:val="1A1A1A"/>
          <w:sz w:val="22"/>
          <w:szCs w:val="22"/>
        </w:rPr>
        <w:t xml:space="preserve">Conditions générales d'utilisation de la plateforme</w:t>
      </w:r>
    </w:p>
    <w:p>
      <w:pPr>
        <w:pStyle w:val="ListParagraph"/>
        <w:numPr>
          <w:ilvl w:val="0"/>
          <w:numId w:val="2"/>
        </w:numPr>
        <w:spacing w:after="60" w:before="60"/>
      </w:pPr>
      <w:r>
        <w:rPr>
          <w:rFonts w:ascii="Arial" w:cs="Arial" w:eastAsia="Arial" w:hAnsi="Arial"/>
          <w:color w:val="1A1A1A"/>
          <w:sz w:val="22"/>
          <w:szCs w:val="22"/>
        </w:rPr>
        <w:t xml:space="preserve">Politique de l'organisateur (obligations, droits, procédure de déclaration)</w:t>
      </w:r>
    </w:p>
    <w:p>
      <w:pPr>
        <w:pStyle w:val="ListParagraph"/>
        <w:numPr>
          <w:ilvl w:val="0"/>
          <w:numId w:val="2"/>
        </w:numPr>
        <w:spacing w:after="60" w:before="60"/>
      </w:pPr>
      <w:r>
        <w:rPr>
          <w:rFonts w:ascii="Arial" w:cs="Arial" w:eastAsia="Arial" w:hAnsi="Arial"/>
          <w:color w:val="1A1A1A"/>
          <w:sz w:val="22"/>
          <w:szCs w:val="22"/>
        </w:rPr>
        <w:t xml:space="preserve">Politique du public / spectateurs</w:t>
      </w:r>
    </w:p>
    <w:p>
      <w:pPr>
        <w:pageBreakBefore/>
      </w:pPr>
      <w:r>
        <w:t xml:space="preserve"/>
      </w:r>
    </w:p>
    <w:p>
      <w:pPr>
        <w:pStyle w:val="Heading1"/>
        <w:spacing w:after="200" w:before="400"/>
      </w:pPr>
      <w:r>
        <w:rPr>
          <w:rFonts w:ascii="Arial" w:cs="Arial" w:eastAsia="Arial" w:hAnsi="Arial"/>
          <w:b/>
          <w:bCs/>
          <w:color w:val="1F4E79"/>
          <w:sz w:val="28"/>
          <w:szCs w:val="28"/>
        </w:rPr>
        <w:t xml:space="preserve">5. Espace Organisateur (privé)</w:t>
      </w:r>
    </w:p>
    <w:p>
      <w:pPr>
        <w:pStyle w:val="Heading2"/>
        <w:spacing w:after="140" w:before="280"/>
      </w:pPr>
      <w:r>
        <w:rPr>
          <w:rFonts w:ascii="Arial" w:cs="Arial" w:eastAsia="Arial" w:hAnsi="Arial"/>
          <w:b/>
          <w:bCs/>
          <w:color w:val="2E74B5"/>
          <w:sz w:val="24"/>
          <w:szCs w:val="24"/>
        </w:rPr>
        <w:t xml:space="preserve">5.1. Authentification</w:t>
      </w:r>
    </w:p>
    <w:p>
      <w:pPr>
        <w:pStyle w:val="ListParagraph"/>
        <w:numPr>
          <w:ilvl w:val="0"/>
          <w:numId w:val="2"/>
        </w:numPr>
        <w:spacing w:after="60" w:before="60"/>
      </w:pPr>
      <w:r>
        <w:rPr>
          <w:rFonts w:ascii="Arial" w:cs="Arial" w:eastAsia="Arial" w:hAnsi="Arial"/>
          <w:color w:val="1A1A1A"/>
          <w:sz w:val="22"/>
          <w:szCs w:val="22"/>
        </w:rPr>
        <w:t xml:space="preserve">Inscription : nom, prénom, qualité, téléphone, email, mot de passe</w:t>
      </w:r>
    </w:p>
    <w:p>
      <w:pPr>
        <w:pStyle w:val="ListParagraph"/>
        <w:numPr>
          <w:ilvl w:val="0"/>
          <w:numId w:val="2"/>
        </w:numPr>
        <w:spacing w:after="60" w:before="60"/>
      </w:pPr>
      <w:r>
        <w:rPr>
          <w:rFonts w:ascii="Arial" w:cs="Arial" w:eastAsia="Arial" w:hAnsi="Arial"/>
          <w:color w:val="1A1A1A"/>
          <w:sz w:val="22"/>
          <w:szCs w:val="22"/>
        </w:rPr>
        <w:t xml:space="preserve">Connexion par email + mot de passe</w:t>
      </w:r>
    </w:p>
    <w:p>
      <w:pPr>
        <w:pStyle w:val="ListParagraph"/>
        <w:numPr>
          <w:ilvl w:val="0"/>
          <w:numId w:val="2"/>
        </w:numPr>
        <w:spacing w:after="60" w:before="60"/>
      </w:pPr>
      <w:r>
        <w:rPr>
          <w:rFonts w:ascii="Arial" w:cs="Arial" w:eastAsia="Arial" w:hAnsi="Arial"/>
          <w:color w:val="1A1A1A"/>
          <w:sz w:val="22"/>
          <w:szCs w:val="22"/>
        </w:rPr>
        <w:t xml:space="preserve">Récupération de mot de passe par email</w:t>
      </w:r>
    </w:p>
    <w:p>
      <w:pPr>
        <w:pStyle w:val="ListParagraph"/>
        <w:numPr>
          <w:ilvl w:val="0"/>
          <w:numId w:val="2"/>
        </w:numPr>
        <w:spacing w:after="60" w:before="60"/>
      </w:pPr>
      <w:r>
        <w:rPr>
          <w:rFonts w:ascii="Arial" w:cs="Arial" w:eastAsia="Arial" w:hAnsi="Arial"/>
          <w:color w:val="1A1A1A"/>
          <w:sz w:val="22"/>
          <w:szCs w:val="22"/>
        </w:rPr>
        <w:t xml:space="preserve">Modification du profil</w:t>
      </w:r>
    </w:p>
    <w:p>
      <w:pPr>
        <w:pStyle w:val="Heading2"/>
        <w:spacing w:after="140" w:before="280"/>
      </w:pPr>
      <w:r>
        <w:rPr>
          <w:rFonts w:ascii="Arial" w:cs="Arial" w:eastAsia="Arial" w:hAnsi="Arial"/>
          <w:b/>
          <w:bCs/>
          <w:color w:val="2E74B5"/>
          <w:sz w:val="24"/>
          <w:szCs w:val="24"/>
        </w:rPr>
        <w:t xml:space="preserve">5.2. Tableau de bord organisateur</w:t>
      </w:r>
    </w:p>
    <w:p>
      <w:pPr>
        <w:pStyle w:val="ListParagraph"/>
        <w:numPr>
          <w:ilvl w:val="0"/>
          <w:numId w:val="2"/>
        </w:numPr>
        <w:spacing w:after="60" w:before="60"/>
      </w:pPr>
      <w:r>
        <w:rPr>
          <w:rFonts w:ascii="Arial" w:cs="Arial" w:eastAsia="Arial" w:hAnsi="Arial"/>
          <w:color w:val="1A1A1A"/>
          <w:sz w:val="22"/>
          <w:szCs w:val="22"/>
        </w:rPr>
        <w:t xml:space="preserve">Message de bienvenue personnalisé</w:t>
      </w:r>
    </w:p>
    <w:p>
      <w:pPr>
        <w:pStyle w:val="ListParagraph"/>
        <w:numPr>
          <w:ilvl w:val="0"/>
          <w:numId w:val="2"/>
        </w:numPr>
        <w:spacing w:after="60" w:before="60"/>
      </w:pPr>
      <w:r>
        <w:rPr>
          <w:rFonts w:ascii="Arial" w:cs="Arial" w:eastAsia="Arial" w:hAnsi="Arial"/>
          <w:color w:val="1A1A1A"/>
          <w:sz w:val="22"/>
          <w:szCs w:val="22"/>
        </w:rPr>
        <w:t xml:space="preserve">Alerte arriéré en rouge si compte bloqué</w:t>
      </w:r>
    </w:p>
    <w:p>
      <w:pPr>
        <w:pStyle w:val="ListParagraph"/>
        <w:numPr>
          <w:ilvl w:val="0"/>
          <w:numId w:val="2"/>
        </w:numPr>
        <w:spacing w:after="60" w:before="60"/>
      </w:pPr>
      <w:r>
        <w:rPr>
          <w:rFonts w:ascii="Arial" w:cs="Arial" w:eastAsia="Arial" w:hAnsi="Arial"/>
          <w:color w:val="1A1A1A"/>
          <w:sz w:val="22"/>
          <w:szCs w:val="22"/>
        </w:rPr>
        <w:t xml:space="preserve">4 cartes statistiques : Total / Nouvelles / En cours / Quittances disponibles</w:t>
      </w:r>
    </w:p>
    <w:p>
      <w:pPr>
        <w:pStyle w:val="ListParagraph"/>
        <w:numPr>
          <w:ilvl w:val="0"/>
          <w:numId w:val="2"/>
        </w:numPr>
        <w:spacing w:after="60" w:before="60"/>
      </w:pPr>
      <w:r>
        <w:rPr>
          <w:rFonts w:ascii="Arial" w:cs="Arial" w:eastAsia="Arial" w:hAnsi="Arial"/>
          <w:color w:val="1A1A1A"/>
          <w:sz w:val="22"/>
          <w:szCs w:val="22"/>
        </w:rPr>
        <w:t xml:space="preserve">Bouton '+ Nouvelle déclaration' (grisé si compte bloqué)</w:t>
      </w:r>
    </w:p>
    <w:p>
      <w:pPr>
        <w:pStyle w:val="ListParagraph"/>
        <w:numPr>
          <w:ilvl w:val="0"/>
          <w:numId w:val="2"/>
        </w:numPr>
        <w:spacing w:after="60" w:before="60"/>
      </w:pPr>
      <w:r>
        <w:rPr>
          <w:rFonts w:ascii="Arial" w:cs="Arial" w:eastAsia="Arial" w:hAnsi="Arial"/>
          <w:color w:val="1A1A1A"/>
          <w:sz w:val="22"/>
          <w:szCs w:val="22"/>
        </w:rPr>
        <w:t xml:space="preserve">Tableau de toutes les déclarations avec badges de statut colorés</w:t>
      </w:r>
    </w:p>
    <w:p>
      <w:pPr>
        <w:pStyle w:val="Heading2"/>
        <w:spacing w:after="140" w:before="280"/>
      </w:pPr>
      <w:r>
        <w:rPr>
          <w:rFonts w:ascii="Arial" w:cs="Arial" w:eastAsia="Arial" w:hAnsi="Arial"/>
          <w:b/>
          <w:bCs/>
          <w:color w:val="2E74B5"/>
          <w:sz w:val="24"/>
          <w:szCs w:val="24"/>
        </w:rPr>
        <w:t xml:space="preserve">5.3. Formulaire de déclaration d'événement</w:t>
      </w:r>
    </w:p>
    <w:p>
      <w:pPr>
        <w:spacing w:after="80" w:before="80"/>
        <w:jc w:val="both"/>
      </w:pPr>
      <w:r>
        <w:rPr>
          <w:rFonts w:ascii="Arial" w:cs="Arial" w:eastAsia="Arial" w:hAnsi="Arial"/>
          <w:color w:val="1A1A1A"/>
          <w:sz w:val="22"/>
          <w:szCs w:val="22"/>
        </w:rPr>
        <w:t xml:space="preserve">Le formulaire reproduit fidèlement la structure des fiches papier BBDA (Demande d'autorisation + Fiche d'évaluation des redevances — séances occasionnelles).</w:t>
      </w:r>
    </w:p>
    <w:p>
      <w:pPr>
        <w:pStyle w:val="Heading3"/>
        <w:spacing w:after="100" w:before="200"/>
      </w:pPr>
      <w:r>
        <w:rPr>
          <w:rFonts w:ascii="Arial" w:cs="Arial" w:eastAsia="Arial" w:hAnsi="Arial"/>
          <w:b/>
          <w:bCs/>
          <w:color w:val="444444"/>
          <w:sz w:val="22"/>
          <w:szCs w:val="22"/>
        </w:rPr>
        <w:t xml:space="preserve">Section 1 — Identité du demandeur :</w:t>
      </w:r>
    </w:p>
    <w:p>
      <w:pPr>
        <w:pStyle w:val="ListParagraph"/>
        <w:numPr>
          <w:ilvl w:val="0"/>
          <w:numId w:val="2"/>
        </w:numPr>
        <w:spacing w:after="60" w:before="60"/>
      </w:pPr>
      <w:r>
        <w:rPr>
          <w:rFonts w:ascii="Arial" w:cs="Arial" w:eastAsia="Arial" w:hAnsi="Arial"/>
          <w:color w:val="1A1A1A"/>
          <w:sz w:val="22"/>
          <w:szCs w:val="22"/>
        </w:rPr>
        <w:t xml:space="preserve">Nom, Prénom, Qualité (Organisateur / Autre), Téléphone, Email</w:t>
      </w:r>
    </w:p>
    <w:p>
      <w:pPr>
        <w:pStyle w:val="Heading3"/>
        <w:spacing w:after="100" w:before="200"/>
      </w:pPr>
      <w:r>
        <w:rPr>
          <w:rFonts w:ascii="Arial" w:cs="Arial" w:eastAsia="Arial" w:hAnsi="Arial"/>
          <w:b/>
          <w:bCs/>
          <w:color w:val="444444"/>
          <w:sz w:val="22"/>
          <w:szCs w:val="22"/>
        </w:rPr>
        <w:t xml:space="preserve">Section 2 — Caractéristiques de la manifestation :</w:t>
      </w:r>
    </w:p>
    <w:p>
      <w:pPr>
        <w:pStyle w:val="ListParagraph"/>
        <w:numPr>
          <w:ilvl w:val="0"/>
          <w:numId w:val="2"/>
        </w:numPr>
        <w:spacing w:after="60" w:before="60"/>
      </w:pPr>
      <w:r>
        <w:rPr>
          <w:rFonts w:ascii="Arial" w:cs="Arial" w:eastAsia="Arial" w:hAnsi="Arial"/>
          <w:color w:val="1A1A1A"/>
          <w:sz w:val="22"/>
          <w:szCs w:val="22"/>
        </w:rPr>
        <w:t xml:space="preserve">Nature : Concert / Festival / Spectacle / Gala / Soirée culturelle / Exposition / Autre</w:t>
      </w:r>
    </w:p>
    <w:p>
      <w:pPr>
        <w:pStyle w:val="ListParagraph"/>
        <w:numPr>
          <w:ilvl w:val="0"/>
          <w:numId w:val="2"/>
        </w:numPr>
        <w:spacing w:after="60" w:before="60"/>
      </w:pPr>
      <w:r>
        <w:rPr>
          <w:rFonts w:ascii="Arial" w:cs="Arial" w:eastAsia="Arial" w:hAnsi="Arial"/>
          <w:color w:val="1A1A1A"/>
          <w:sz w:val="22"/>
          <w:szCs w:val="22"/>
        </w:rPr>
        <w:t xml:space="preserve">Nom de l'artiste ou de l'événement</w:t>
      </w:r>
    </w:p>
    <w:p>
      <w:pPr>
        <w:pStyle w:val="ListParagraph"/>
        <w:numPr>
          <w:ilvl w:val="0"/>
          <w:numId w:val="2"/>
        </w:numPr>
        <w:spacing w:after="60" w:before="60"/>
      </w:pPr>
      <w:r>
        <w:rPr>
          <w:rFonts w:ascii="Arial" w:cs="Arial" w:eastAsia="Arial" w:hAnsi="Arial"/>
          <w:color w:val="1A1A1A"/>
          <w:sz w:val="22"/>
          <w:szCs w:val="22"/>
        </w:rPr>
        <w:t xml:space="preserve">Nom de la salle / lieu, Adresse / Secteur, Ville</w:t>
      </w:r>
    </w:p>
    <w:p>
      <w:pPr>
        <w:pStyle w:val="ListParagraph"/>
        <w:numPr>
          <w:ilvl w:val="0"/>
          <w:numId w:val="2"/>
        </w:numPr>
        <w:spacing w:after="60" w:before="60"/>
      </w:pPr>
      <w:r>
        <w:rPr>
          <w:rFonts w:ascii="Arial" w:cs="Arial" w:eastAsia="Arial" w:hAnsi="Arial"/>
          <w:color w:val="1A1A1A"/>
          <w:sz w:val="22"/>
          <w:szCs w:val="22"/>
        </w:rPr>
        <w:t xml:space="preserve">Date et heure, Durée (heures), Capacité d'accueil, Entrée (Payante / Gratuite)</w:t>
      </w:r>
    </w:p>
    <w:p>
      <w:pPr>
        <w:pStyle w:val="Heading3"/>
        <w:spacing w:after="100" w:before="200"/>
      </w:pPr>
      <w:r>
        <w:rPr>
          <w:rFonts w:ascii="Arial" w:cs="Arial" w:eastAsia="Arial" w:hAnsi="Arial"/>
          <w:b/>
          <w:bCs/>
          <w:color w:val="444444"/>
          <w:sz w:val="22"/>
          <w:szCs w:val="22"/>
        </w:rPr>
        <w:t xml:space="preserve">Section 3 — Diffusion musicale :</w:t>
      </w:r>
    </w:p>
    <w:p>
      <w:pPr>
        <w:pStyle w:val="ListParagraph"/>
        <w:numPr>
          <w:ilvl w:val="0"/>
          <w:numId w:val="2"/>
        </w:numPr>
        <w:spacing w:after="60" w:before="60"/>
      </w:pPr>
      <w:r>
        <w:rPr>
          <w:rFonts w:ascii="Arial" w:cs="Arial" w:eastAsia="Arial" w:hAnsi="Arial"/>
          <w:color w:val="1A1A1A"/>
          <w:sz w:val="22"/>
          <w:szCs w:val="22"/>
        </w:rPr>
        <w:t xml:space="preserve">Musique vivante / Musique mécanique / Autres (avec précision)</w:t>
      </w:r>
    </w:p>
    <w:p>
      <w:pPr>
        <w:pStyle w:val="Heading3"/>
        <w:spacing w:after="100" w:before="200"/>
      </w:pPr>
      <w:r>
        <w:rPr>
          <w:rFonts w:ascii="Arial" w:cs="Arial" w:eastAsia="Arial" w:hAnsi="Arial"/>
          <w:b/>
          <w:bCs/>
          <w:color w:val="444444"/>
          <w:sz w:val="22"/>
          <w:szCs w:val="22"/>
        </w:rPr>
        <w:t xml:space="preserve">Section 4 — Informations complémentaires :</w:t>
      </w:r>
    </w:p>
    <w:p>
      <w:pPr>
        <w:pStyle w:val="ListParagraph"/>
        <w:numPr>
          <w:ilvl w:val="0"/>
          <w:numId w:val="2"/>
        </w:numPr>
        <w:spacing w:after="60" w:before="60"/>
      </w:pPr>
      <w:r>
        <w:rPr>
          <w:rFonts w:ascii="Arial" w:cs="Arial" w:eastAsia="Arial" w:hAnsi="Arial"/>
          <w:color w:val="1A1A1A"/>
          <w:sz w:val="22"/>
          <w:szCs w:val="22"/>
        </w:rPr>
        <w:t xml:space="preserve">Autres détails (champ libre optionnel)</w:t>
      </w:r>
    </w:p>
    <w:p>
      <w:pPr>
        <w:pStyle w:val="ListParagraph"/>
        <w:numPr>
          <w:ilvl w:val="0"/>
          <w:numId w:val="2"/>
        </w:numPr>
        <w:spacing w:after="60" w:before="60"/>
      </w:pPr>
      <w:r>
        <w:rPr>
          <w:rFonts w:ascii="Arial" w:cs="Arial" w:eastAsia="Arial" w:hAnsi="Arial"/>
          <w:color w:val="1A1A1A"/>
          <w:sz w:val="22"/>
          <w:szCs w:val="22"/>
        </w:rPr>
        <w:t xml:space="preserve">Liste des artistes prévus (optionnel, recommandé pour les festivals)</w:t>
      </w:r>
    </w:p>
    <w:p>
      <w:pPr>
        <w:pStyle w:val="Heading3"/>
        <w:spacing w:after="100" w:before="200"/>
      </w:pPr>
      <w:r>
        <w:rPr>
          <w:rFonts w:ascii="Arial" w:cs="Arial" w:eastAsia="Arial" w:hAnsi="Arial"/>
          <w:b/>
          <w:bCs/>
          <w:color w:val="444444"/>
          <w:sz w:val="22"/>
          <w:szCs w:val="22"/>
        </w:rPr>
        <w:t xml:space="preserve">Section 5 — Promotion publique (NOUVEAU) :</w:t>
      </w:r>
    </w:p>
    <w:p>
      <w:pPr>
        <w:pStyle w:val="ListParagraph"/>
        <w:numPr>
          <w:ilvl w:val="0"/>
          <w:numId w:val="2"/>
        </w:numPr>
        <w:spacing w:after="60" w:before="60"/>
      </w:pPr>
      <w:r>
        <w:rPr>
          <w:rFonts w:ascii="Arial" w:cs="Arial" w:eastAsia="Arial" w:hAnsi="Arial"/>
          <w:color w:val="1A1A1A"/>
          <w:sz w:val="22"/>
          <w:szCs w:val="22"/>
        </w:rPr>
        <w:t xml:space="preserve">Case à cocher : 'Je souhaite promouvoir cet événement sur la page publique BBDA Events'</w:t>
      </w:r>
    </w:p>
    <w:p>
      <w:pPr>
        <w:pStyle w:val="ListParagraph"/>
        <w:numPr>
          <w:ilvl w:val="0"/>
          <w:numId w:val="2"/>
        </w:numPr>
        <w:spacing w:after="60" w:before="60"/>
      </w:pPr>
      <w:r>
        <w:rPr>
          <w:rFonts w:ascii="Arial" w:cs="Arial" w:eastAsia="Arial" w:hAnsi="Arial"/>
          <w:color w:val="1A1A1A"/>
          <w:sz w:val="22"/>
          <w:szCs w:val="22"/>
        </w:rPr>
        <w:t xml:space="preserve">Si cochée : champ description publique de l'événement (pour la page de listing)</w:t>
      </w:r>
    </w:p>
    <w:p>
      <w:pPr>
        <w:pStyle w:val="ListParagraph"/>
        <w:numPr>
          <w:ilvl w:val="0"/>
          <w:numId w:val="2"/>
        </w:numPr>
        <w:spacing w:after="60" w:before="60"/>
      </w:pPr>
      <w:r>
        <w:rPr>
          <w:rFonts w:ascii="Arial" w:cs="Arial" w:eastAsia="Arial" w:hAnsi="Arial"/>
          <w:color w:val="1A1A1A"/>
          <w:sz w:val="22"/>
          <w:szCs w:val="22"/>
        </w:rPr>
        <w:t xml:space="preserve">Si cochée : upload d'une affiche/image de l'événement (optionnel)</w:t>
      </w:r>
    </w:p>
    <w:p>
      <w:pPr>
        <w:pStyle w:val="ListParagraph"/>
        <w:numPr>
          <w:ilvl w:val="0"/>
          <w:numId w:val="2"/>
        </w:numPr>
        <w:spacing w:after="60" w:before="60"/>
      </w:pPr>
      <w:r>
        <w:rPr>
          <w:rFonts w:ascii="Arial" w:cs="Arial" w:eastAsia="Arial" w:hAnsi="Arial"/>
          <w:color w:val="1A1A1A"/>
          <w:sz w:val="22"/>
          <w:szCs w:val="22"/>
        </w:rPr>
        <w:t xml:space="preserve">Si cochée : autorisation de contact public (afficher mon téléphone/email sur la page publique)</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B8520A"/>
                <w:sz w:val="20"/>
                <w:szCs w:val="20"/>
              </w:rPr>
              <w:t xml:space="preserve">⚠ RÈGLE</w:t>
            </w:r>
          </w:p>
          <w:p>
            <w:pPr>
              <w:spacing w:before="40"/>
              <w:jc w:val="both"/>
            </w:pPr>
            <w:r>
              <w:rPr>
                <w:rFonts w:ascii="Arial" w:cs="Arial" w:eastAsia="Arial" w:hAnsi="Arial"/>
                <w:color w:val="1A1A1A"/>
                <w:sz w:val="20"/>
                <w:szCs w:val="20"/>
              </w:rPr>
              <w:t xml:space="preserve">L'événement ne sera visible publiquement que APRÈS paiement de la redevance et délivrance de la quittance. Cocher 'Promouvoir' à la déclaration ne rend pas l'événement visible immédiatement.</w:t>
            </w:r>
          </w:p>
        </w:tc>
      </w:tr>
    </w:tbl>
    <w:p>
      <w:pPr>
        <w:pStyle w:val="Heading2"/>
        <w:spacing w:after="140" w:before="280"/>
      </w:pPr>
      <w:r>
        <w:rPr>
          <w:rFonts w:ascii="Arial" w:cs="Arial" w:eastAsia="Arial" w:hAnsi="Arial"/>
          <w:b/>
          <w:bCs/>
          <w:color w:val="2E74B5"/>
          <w:sz w:val="24"/>
          <w:szCs w:val="24"/>
        </w:rPr>
        <w:t xml:space="preserve">5.4. Page détail d'une déclaration (côté organisateur)</w:t>
      </w:r>
    </w:p>
    <w:p>
      <w:pPr>
        <w:pStyle w:val="ListParagraph"/>
        <w:numPr>
          <w:ilvl w:val="0"/>
          <w:numId w:val="2"/>
        </w:numPr>
        <w:spacing w:after="60" w:before="60"/>
      </w:pPr>
      <w:r>
        <w:rPr>
          <w:rFonts w:ascii="Arial" w:cs="Arial" w:eastAsia="Arial" w:hAnsi="Arial"/>
          <w:color w:val="1A1A1A"/>
          <w:sz w:val="22"/>
          <w:szCs w:val="22"/>
        </w:rPr>
        <w:t xml:space="preserve">Frise chronologique de l'avancement (soumis → évalué → montant fixé → payé → quittance)</w:t>
      </w:r>
    </w:p>
    <w:p>
      <w:pPr>
        <w:pStyle w:val="ListParagraph"/>
        <w:numPr>
          <w:ilvl w:val="0"/>
          <w:numId w:val="2"/>
        </w:numPr>
        <w:spacing w:after="60" w:before="60"/>
      </w:pPr>
      <w:r>
        <w:rPr>
          <w:rFonts w:ascii="Arial" w:cs="Arial" w:eastAsia="Arial" w:hAnsi="Arial"/>
          <w:color w:val="1A1A1A"/>
          <w:sz w:val="22"/>
          <w:szCs w:val="22"/>
        </w:rPr>
        <w:t xml:space="preserve">Toutes les informations saisies</w:t>
      </w:r>
    </w:p>
    <w:p>
      <w:pPr>
        <w:pStyle w:val="ListParagraph"/>
        <w:numPr>
          <w:ilvl w:val="0"/>
          <w:numId w:val="2"/>
        </w:numPr>
        <w:spacing w:after="60" w:before="60"/>
      </w:pPr>
      <w:r>
        <w:rPr>
          <w:rFonts w:ascii="Arial" w:cs="Arial" w:eastAsia="Arial" w:hAnsi="Arial"/>
          <w:color w:val="1A1A1A"/>
          <w:sz w:val="22"/>
          <w:szCs w:val="22"/>
        </w:rPr>
        <w:t xml:space="preserve">Encadré montant à payer si statut = montant_fixe</w:t>
      </w:r>
    </w:p>
    <w:p>
      <w:pPr>
        <w:pStyle w:val="ListParagraph"/>
        <w:numPr>
          <w:ilvl w:val="0"/>
          <w:numId w:val="2"/>
        </w:numPr>
        <w:spacing w:after="60" w:before="60"/>
      </w:pPr>
      <w:r>
        <w:rPr>
          <w:rFonts w:ascii="Arial" w:cs="Arial" w:eastAsia="Arial" w:hAnsi="Arial"/>
          <w:color w:val="1A1A1A"/>
          <w:sz w:val="22"/>
          <w:szCs w:val="22"/>
        </w:rPr>
        <w:t xml:space="preserve">Bouton téléchargement quittance PDF si statut = quittance_delivree</w:t>
      </w:r>
    </w:p>
    <w:p>
      <w:pPr>
        <w:pStyle w:val="ListParagraph"/>
        <w:numPr>
          <w:ilvl w:val="0"/>
          <w:numId w:val="2"/>
        </w:numPr>
        <w:spacing w:after="60" w:before="60"/>
      </w:pPr>
      <w:r>
        <w:rPr>
          <w:rFonts w:ascii="Arial" w:cs="Arial" w:eastAsia="Arial" w:hAnsi="Arial"/>
          <w:color w:val="1A1A1A"/>
          <w:sz w:val="22"/>
          <w:szCs w:val="22"/>
        </w:rPr>
        <w:t xml:space="preserve">Indicateur de visibilité publique : 'Votre événement est visible sur la page publique ✓'</w:t>
      </w:r>
    </w:p>
    <w:p>
      <w:pPr>
        <w:pageBreakBefore/>
      </w:pPr>
      <w:r>
        <w:t xml:space="preserve"/>
      </w:r>
    </w:p>
    <w:p>
      <w:pPr>
        <w:pStyle w:val="Heading1"/>
        <w:spacing w:after="200" w:before="400"/>
      </w:pPr>
      <w:r>
        <w:rPr>
          <w:rFonts w:ascii="Arial" w:cs="Arial" w:eastAsia="Arial" w:hAnsi="Arial"/>
          <w:b/>
          <w:bCs/>
          <w:color w:val="1F4E79"/>
          <w:sz w:val="28"/>
          <w:szCs w:val="28"/>
        </w:rPr>
        <w:t xml:space="preserve">6. Processus métier numérisé</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6"/>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Étape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Acteur</w:t>
            </w:r>
          </w:p>
        </w:tc>
        <w:tc>
          <w:tcPr>
            <w:tcW w:type="dxa" w:w="5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S'inscrit ou se connecte à la plateforme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Système</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Vérifie si le compte a un arriéré bloquant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Remplit le formulaire de déclaration (avec option promotion)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Système</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Enregistre la déclaration, envoie email de confirmation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Agent BBDA</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Reçoit la déclaration, analyse les informations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Agent BBDA</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Saisit manuellement le tarif et la redevance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Système</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Notifie l'organisateur par email du montant à payer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Se présente au BBDA et effectue le paiement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Agent BBDA</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Confirme la réception du paiement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Système</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Génère la quittance PDF, notifie l'organisateur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Système</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Si promotion=True : publie l'événement sur la face publique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Télécharge sa quittance, son événement est visible publiquement</w:t>
            </w:r>
          </w:p>
        </w:tc>
      </w:tr>
    </w:tbl>
    <w:p>
      <w:pPr>
        <w:pageBreakBefore/>
      </w:pPr>
      <w:r>
        <w:t xml:space="preserve"/>
      </w:r>
    </w:p>
    <w:p>
      <w:pPr>
        <w:pStyle w:val="Heading1"/>
        <w:spacing w:after="200" w:before="400"/>
      </w:pPr>
      <w:r>
        <w:rPr>
          <w:rFonts w:ascii="Arial" w:cs="Arial" w:eastAsia="Arial" w:hAnsi="Arial"/>
          <w:b/>
          <w:bCs/>
          <w:color w:val="1F4E79"/>
          <w:sz w:val="28"/>
          <w:szCs w:val="28"/>
        </w:rPr>
        <w:t xml:space="preserve">7. Espace Agent BBDA (privé)</w:t>
      </w:r>
    </w:p>
    <w:p>
      <w:pPr>
        <w:pStyle w:val="Heading2"/>
        <w:spacing w:after="140" w:before="280"/>
      </w:pPr>
      <w:r>
        <w:rPr>
          <w:rFonts w:ascii="Arial" w:cs="Arial" w:eastAsia="Arial" w:hAnsi="Arial"/>
          <w:b/>
          <w:bCs/>
          <w:color w:val="2E74B5"/>
          <w:sz w:val="24"/>
          <w:szCs w:val="24"/>
        </w:rPr>
        <w:t xml:space="preserve">7.1. Tableau de bord agent</w:t>
      </w:r>
    </w:p>
    <w:p>
      <w:pPr>
        <w:pStyle w:val="ListParagraph"/>
        <w:numPr>
          <w:ilvl w:val="0"/>
          <w:numId w:val="2"/>
        </w:numPr>
        <w:spacing w:after="60" w:before="60"/>
      </w:pPr>
      <w:r>
        <w:rPr>
          <w:rFonts w:ascii="Arial" w:cs="Arial" w:eastAsia="Arial" w:hAnsi="Arial"/>
          <w:color w:val="1A1A1A"/>
          <w:sz w:val="22"/>
          <w:szCs w:val="22"/>
        </w:rPr>
        <w:t xml:space="preserve">Alertes prioritaires : comptes sous surveillance reconnectés, arriérés non réglés</w:t>
      </w:r>
    </w:p>
    <w:p>
      <w:pPr>
        <w:pStyle w:val="ListParagraph"/>
        <w:numPr>
          <w:ilvl w:val="0"/>
          <w:numId w:val="2"/>
        </w:numPr>
        <w:spacing w:after="60" w:before="60"/>
      </w:pPr>
      <w:r>
        <w:rPr>
          <w:rFonts w:ascii="Arial" w:cs="Arial" w:eastAsia="Arial" w:hAnsi="Arial"/>
          <w:color w:val="1A1A1A"/>
          <w:sz w:val="22"/>
          <w:szCs w:val="22"/>
        </w:rPr>
        <w:t xml:space="preserve">4 cartes statistiques : Nouvelles déclarations / En cours / Payées aujourd'hui / Quittances ce mois</w:t>
      </w:r>
    </w:p>
    <w:p>
      <w:pPr>
        <w:pStyle w:val="ListParagraph"/>
        <w:numPr>
          <w:ilvl w:val="0"/>
          <w:numId w:val="2"/>
        </w:numPr>
        <w:spacing w:after="60" w:before="60"/>
      </w:pPr>
      <w:r>
        <w:rPr>
          <w:rFonts w:ascii="Arial" w:cs="Arial" w:eastAsia="Arial" w:hAnsi="Arial"/>
          <w:color w:val="1A1A1A"/>
          <w:sz w:val="22"/>
          <w:szCs w:val="22"/>
        </w:rPr>
        <w:t xml:space="preserve">Section déclarations urgentes (nouvelles non traitées)</w:t>
      </w:r>
    </w:p>
    <w:p>
      <w:pPr>
        <w:pStyle w:val="ListParagraph"/>
        <w:numPr>
          <w:ilvl w:val="0"/>
          <w:numId w:val="2"/>
        </w:numPr>
        <w:spacing w:after="60" w:before="60"/>
      </w:pPr>
      <w:r>
        <w:rPr>
          <w:rFonts w:ascii="Arial" w:cs="Arial" w:eastAsia="Arial" w:hAnsi="Arial"/>
          <w:color w:val="1A1A1A"/>
          <w:sz w:val="22"/>
          <w:szCs w:val="22"/>
        </w:rPr>
        <w:t xml:space="preserve">Section en cours de traitement</w:t>
      </w:r>
    </w:p>
    <w:p>
      <w:pPr>
        <w:pStyle w:val="ListParagraph"/>
        <w:numPr>
          <w:ilvl w:val="0"/>
          <w:numId w:val="2"/>
        </w:numPr>
        <w:spacing w:after="60" w:before="60"/>
      </w:pPr>
      <w:r>
        <w:rPr>
          <w:rFonts w:ascii="Arial" w:cs="Arial" w:eastAsia="Arial" w:hAnsi="Arial"/>
          <w:color w:val="1A1A1A"/>
          <w:sz w:val="22"/>
          <w:szCs w:val="22"/>
        </w:rPr>
        <w:t xml:space="preserve">Sidebar de navigation : Tableau de bord / Déclarations / Arriérés / Surveillance</w:t>
      </w:r>
    </w:p>
    <w:p>
      <w:pPr>
        <w:pStyle w:val="Heading2"/>
        <w:spacing w:after="140" w:before="280"/>
      </w:pPr>
      <w:r>
        <w:rPr>
          <w:rFonts w:ascii="Arial" w:cs="Arial" w:eastAsia="Arial" w:hAnsi="Arial"/>
          <w:b/>
          <w:bCs/>
          <w:color w:val="2E74B5"/>
          <w:sz w:val="24"/>
          <w:szCs w:val="24"/>
        </w:rPr>
        <w:t xml:space="preserve">7.2. Traitement d'une déclaration</w:t>
      </w:r>
    </w:p>
    <w:p>
      <w:pPr>
        <w:pStyle w:val="ListParagraph"/>
        <w:numPr>
          <w:ilvl w:val="0"/>
          <w:numId w:val="2"/>
        </w:numPr>
        <w:spacing w:after="60" w:before="60"/>
      </w:pPr>
      <w:r>
        <w:rPr>
          <w:rFonts w:ascii="Arial" w:cs="Arial" w:eastAsia="Arial" w:hAnsi="Arial"/>
          <w:color w:val="1A1A1A"/>
          <w:sz w:val="22"/>
          <w:szCs w:val="22"/>
        </w:rPr>
        <w:t xml:space="preserve">Fiche complète avec toutes les informations de l'organisateur</w:t>
      </w:r>
    </w:p>
    <w:p>
      <w:pPr>
        <w:pStyle w:val="ListParagraph"/>
        <w:numPr>
          <w:ilvl w:val="0"/>
          <w:numId w:val="2"/>
        </w:numPr>
        <w:spacing w:after="60" w:before="60"/>
      </w:pPr>
      <w:r>
        <w:rPr>
          <w:rFonts w:ascii="Arial" w:cs="Arial" w:eastAsia="Arial" w:hAnsi="Arial"/>
          <w:color w:val="1A1A1A"/>
          <w:sz w:val="22"/>
          <w:szCs w:val="22"/>
        </w:rPr>
        <w:t xml:space="preserve">Historique complet de l'organisateur (déclarations passées, arriérés, total payé)</w:t>
      </w:r>
    </w:p>
    <w:p>
      <w:pPr>
        <w:pStyle w:val="ListParagraph"/>
        <w:numPr>
          <w:ilvl w:val="0"/>
          <w:numId w:val="2"/>
        </w:numPr>
        <w:spacing w:after="60" w:before="60"/>
      </w:pPr>
      <w:r>
        <w:rPr>
          <w:rFonts w:ascii="Arial" w:cs="Arial" w:eastAsia="Arial" w:hAnsi="Arial"/>
          <w:color w:val="1A1A1A"/>
          <w:sz w:val="22"/>
          <w:szCs w:val="22"/>
        </w:rPr>
        <w:t xml:space="preserve">Formulaire de saisie du montant : Tarif (FCFA) + Redevance (FCFA) = Total calculé automatiquement</w:t>
      </w:r>
    </w:p>
    <w:p>
      <w:pPr>
        <w:pStyle w:val="ListParagraph"/>
        <w:numPr>
          <w:ilvl w:val="0"/>
          <w:numId w:val="2"/>
        </w:numPr>
        <w:spacing w:after="60" w:before="60"/>
      </w:pPr>
      <w:r>
        <w:rPr>
          <w:rFonts w:ascii="Arial" w:cs="Arial" w:eastAsia="Arial" w:hAnsi="Arial"/>
          <w:color w:val="1A1A1A"/>
          <w:sz w:val="22"/>
          <w:szCs w:val="22"/>
        </w:rPr>
        <w:t xml:space="preserve">Bouton 'Valider et notifier l'organisateur'</w:t>
      </w:r>
    </w:p>
    <w:p>
      <w:pPr>
        <w:pStyle w:val="ListParagraph"/>
        <w:numPr>
          <w:ilvl w:val="0"/>
          <w:numId w:val="2"/>
        </w:numPr>
        <w:spacing w:after="60" w:before="60"/>
      </w:pPr>
      <w:r>
        <w:rPr>
          <w:rFonts w:ascii="Arial" w:cs="Arial" w:eastAsia="Arial" w:hAnsi="Arial"/>
          <w:color w:val="1A1A1A"/>
          <w:sz w:val="22"/>
          <w:szCs w:val="22"/>
        </w:rPr>
        <w:t xml:space="preserve">Option 'Mettre en attente' avec commentaire obligatoire</w:t>
      </w:r>
    </w:p>
    <w:p>
      <w:pPr>
        <w:pStyle w:val="Heading2"/>
        <w:spacing w:after="140" w:before="280"/>
      </w:pPr>
      <w:r>
        <w:rPr>
          <w:rFonts w:ascii="Arial" w:cs="Arial" w:eastAsia="Arial" w:hAnsi="Arial"/>
          <w:b/>
          <w:bCs/>
          <w:color w:val="2E74B5"/>
          <w:sz w:val="24"/>
          <w:szCs w:val="24"/>
        </w:rPr>
        <w:t xml:space="preserve">7.3. Confirmation du paiement</w:t>
      </w:r>
    </w:p>
    <w:p>
      <w:pPr>
        <w:pStyle w:val="ListParagraph"/>
        <w:numPr>
          <w:ilvl w:val="0"/>
          <w:numId w:val="2"/>
        </w:numPr>
        <w:spacing w:after="60" w:before="60"/>
      </w:pPr>
      <w:r>
        <w:rPr>
          <w:rFonts w:ascii="Arial" w:cs="Arial" w:eastAsia="Arial" w:hAnsi="Arial"/>
          <w:color w:val="1A1A1A"/>
          <w:sz w:val="22"/>
          <w:szCs w:val="22"/>
        </w:rPr>
        <w:t xml:space="preserve">Récapitulatif du montant à percevoir</w:t>
      </w:r>
    </w:p>
    <w:p>
      <w:pPr>
        <w:pStyle w:val="ListParagraph"/>
        <w:numPr>
          <w:ilvl w:val="0"/>
          <w:numId w:val="2"/>
        </w:numPr>
        <w:spacing w:after="60" w:before="60"/>
      </w:pPr>
      <w:r>
        <w:rPr>
          <w:rFonts w:ascii="Arial" w:cs="Arial" w:eastAsia="Arial" w:hAnsi="Arial"/>
          <w:color w:val="1A1A1A"/>
          <w:sz w:val="22"/>
          <w:szCs w:val="22"/>
        </w:rPr>
        <w:t xml:space="preserve">Mode de paiement : Espèces / Chèque N° / Orange Money</w:t>
      </w:r>
    </w:p>
    <w:p>
      <w:pPr>
        <w:pStyle w:val="ListParagraph"/>
        <w:numPr>
          <w:ilvl w:val="0"/>
          <w:numId w:val="2"/>
        </w:numPr>
        <w:spacing w:after="60" w:before="60"/>
      </w:pPr>
      <w:r>
        <w:rPr>
          <w:rFonts w:ascii="Arial" w:cs="Arial" w:eastAsia="Arial" w:hAnsi="Arial"/>
          <w:color w:val="1A1A1A"/>
          <w:sz w:val="22"/>
          <w:szCs w:val="22"/>
        </w:rPr>
        <w:t xml:space="preserve">Montant perçu en chiffres et en lettres</w:t>
      </w:r>
    </w:p>
    <w:p>
      <w:pPr>
        <w:pStyle w:val="ListParagraph"/>
        <w:numPr>
          <w:ilvl w:val="0"/>
          <w:numId w:val="2"/>
        </w:numPr>
        <w:spacing w:after="60" w:before="60"/>
      </w:pPr>
      <w:r>
        <w:rPr>
          <w:rFonts w:ascii="Arial" w:cs="Arial" w:eastAsia="Arial" w:hAnsi="Arial"/>
          <w:color w:val="1A1A1A"/>
          <w:sz w:val="22"/>
          <w:szCs w:val="22"/>
        </w:rPr>
        <w:t xml:space="preserve">Type : Intégral / Partiel (avec reste à payer si partiel)</w:t>
      </w:r>
    </w:p>
    <w:p>
      <w:pPr>
        <w:pStyle w:val="ListParagraph"/>
        <w:numPr>
          <w:ilvl w:val="0"/>
          <w:numId w:val="2"/>
        </w:numPr>
        <w:spacing w:after="60" w:before="60"/>
      </w:pPr>
      <w:r>
        <w:rPr>
          <w:rFonts w:ascii="Arial" w:cs="Arial" w:eastAsia="Arial" w:hAnsi="Arial"/>
          <w:color w:val="1A1A1A"/>
          <w:sz w:val="22"/>
          <w:szCs w:val="22"/>
        </w:rPr>
        <w:t xml:space="preserve">Bouton 'Confirmer et générer la quittance'</w:t>
      </w:r>
    </w:p>
    <w:p>
      <w:pPr>
        <w:pStyle w:val="ListParagraph"/>
        <w:numPr>
          <w:ilvl w:val="0"/>
          <w:numId w:val="2"/>
        </w:numPr>
        <w:spacing w:after="60" w:before="60"/>
      </w:pPr>
      <w:r>
        <w:rPr>
          <w:rFonts w:ascii="Arial" w:cs="Arial" w:eastAsia="Arial" w:hAnsi="Arial"/>
          <w:color w:val="1A1A1A"/>
          <w:sz w:val="22"/>
          <w:szCs w:val="22"/>
        </w:rPr>
        <w:t xml:space="preserve">Si partiel : création automatique d'un arriéré</w:t>
      </w:r>
    </w:p>
    <w:p>
      <w:pPr>
        <w:pStyle w:val="Heading2"/>
        <w:spacing w:after="140" w:before="280"/>
      </w:pPr>
      <w:r>
        <w:rPr>
          <w:rFonts w:ascii="Arial" w:cs="Arial" w:eastAsia="Arial" w:hAnsi="Arial"/>
          <w:b/>
          <w:bCs/>
          <w:color w:val="2E74B5"/>
          <w:sz w:val="24"/>
          <w:szCs w:val="24"/>
        </w:rPr>
        <w:t xml:space="preserve">7.4. Gestion des arriérés</w:t>
      </w:r>
    </w:p>
    <w:p>
      <w:pPr>
        <w:pStyle w:val="ListParagraph"/>
        <w:numPr>
          <w:ilvl w:val="0"/>
          <w:numId w:val="2"/>
        </w:numPr>
        <w:spacing w:after="60" w:before="60"/>
      </w:pPr>
      <w:r>
        <w:rPr>
          <w:rFonts w:ascii="Arial" w:cs="Arial" w:eastAsia="Arial" w:hAnsi="Arial"/>
          <w:color w:val="1A1A1A"/>
          <w:sz w:val="22"/>
          <w:szCs w:val="22"/>
        </w:rPr>
        <w:t xml:space="preserve">Liste des organisateurs avec arriéré actif (montant, statut, dernier rappel)</w:t>
      </w:r>
    </w:p>
    <w:p>
      <w:pPr>
        <w:pStyle w:val="ListParagraph"/>
        <w:numPr>
          <w:ilvl w:val="0"/>
          <w:numId w:val="2"/>
        </w:numPr>
        <w:spacing w:after="60" w:before="60"/>
      </w:pPr>
      <w:r>
        <w:rPr>
          <w:rFonts w:ascii="Arial" w:cs="Arial" w:eastAsia="Arial" w:hAnsi="Arial"/>
          <w:color w:val="1A1A1A"/>
          <w:sz w:val="22"/>
          <w:szCs w:val="22"/>
        </w:rPr>
        <w:t xml:space="preserve">Actions : Débloquer / Bloquer / Marquer sous surveillance</w:t>
      </w:r>
    </w:p>
    <w:p>
      <w:pPr>
        <w:pStyle w:val="ListParagraph"/>
        <w:numPr>
          <w:ilvl w:val="0"/>
          <w:numId w:val="2"/>
        </w:numPr>
        <w:spacing w:after="60" w:before="60"/>
      </w:pPr>
      <w:r>
        <w:rPr>
          <w:rFonts w:ascii="Arial" w:cs="Arial" w:eastAsia="Arial" w:hAnsi="Arial"/>
          <w:color w:val="1A1A1A"/>
          <w:sz w:val="22"/>
          <w:szCs w:val="22"/>
        </w:rPr>
        <w:t xml:space="preserve">Bouton 'Envoyer rappels aux retardataires' (déclenche les emails automatiques)</w:t>
      </w:r>
    </w:p>
    <w:p>
      <w:pPr>
        <w:pStyle w:val="Heading2"/>
        <w:spacing w:after="140" w:before="280"/>
      </w:pPr>
      <w:r>
        <w:rPr>
          <w:rFonts w:ascii="Arial" w:cs="Arial" w:eastAsia="Arial" w:hAnsi="Arial"/>
          <w:b/>
          <w:bCs/>
          <w:color w:val="2E74B5"/>
          <w:sz w:val="24"/>
          <w:szCs w:val="24"/>
        </w:rPr>
        <w:t xml:space="preserve">7.5. Gestion des comptes sous surveillance</w:t>
      </w:r>
    </w:p>
    <w:p>
      <w:pPr>
        <w:pStyle w:val="ListParagraph"/>
        <w:numPr>
          <w:ilvl w:val="0"/>
          <w:numId w:val="2"/>
        </w:numPr>
        <w:spacing w:after="60" w:before="60"/>
      </w:pPr>
      <w:r>
        <w:rPr>
          <w:rFonts w:ascii="Arial" w:cs="Arial" w:eastAsia="Arial" w:hAnsi="Arial"/>
          <w:color w:val="1A1A1A"/>
          <w:sz w:val="22"/>
          <w:szCs w:val="22"/>
        </w:rPr>
        <w:t xml:space="preserve">Alertes des comptes sous surveillance qui se sont reconnectés</w:t>
      </w:r>
    </w:p>
    <w:p>
      <w:pPr>
        <w:pStyle w:val="ListParagraph"/>
        <w:numPr>
          <w:ilvl w:val="0"/>
          <w:numId w:val="2"/>
        </w:numPr>
        <w:spacing w:after="60" w:before="60"/>
      </w:pPr>
      <w:r>
        <w:rPr>
          <w:rFonts w:ascii="Arial" w:cs="Arial" w:eastAsia="Arial" w:hAnsi="Arial"/>
          <w:color w:val="1A1A1A"/>
          <w:sz w:val="22"/>
          <w:szCs w:val="22"/>
        </w:rPr>
        <w:t xml:space="preserve">Liste des comptes actuellement sous surveillance avec historique</w:t>
      </w:r>
    </w:p>
    <w:p>
      <w:pPr>
        <w:pStyle w:val="ListParagraph"/>
        <w:numPr>
          <w:ilvl w:val="0"/>
          <w:numId w:val="2"/>
        </w:numPr>
        <w:spacing w:after="60" w:before="60"/>
      </w:pPr>
      <w:r>
        <w:rPr>
          <w:rFonts w:ascii="Arial" w:cs="Arial" w:eastAsia="Arial" w:hAnsi="Arial"/>
          <w:color w:val="1A1A1A"/>
          <w:sz w:val="22"/>
          <w:szCs w:val="22"/>
        </w:rPr>
        <w:t xml:space="preserve">Actions : Traiter l'alerte / Lever la surveillance</w:t>
      </w:r>
    </w:p>
    <w:p>
      <w:pPr>
        <w:pageBreakBefore/>
      </w:pPr>
      <w:r>
        <w:t xml:space="preserve"/>
      </w:r>
    </w:p>
    <w:p>
      <w:pPr>
        <w:pStyle w:val="Heading1"/>
        <w:spacing w:after="200" w:before="400"/>
      </w:pPr>
      <w:r>
        <w:rPr>
          <w:rFonts w:ascii="Arial" w:cs="Arial" w:eastAsia="Arial" w:hAnsi="Arial"/>
          <w:b/>
          <w:bCs/>
          <w:color w:val="1F4E79"/>
          <w:sz w:val="28"/>
          <w:szCs w:val="28"/>
        </w:rPr>
        <w:t xml:space="preserve">8. Espace Administrateur (privé)</w:t>
      </w:r>
    </w:p>
    <w:p>
      <w:pPr>
        <w:pStyle w:val="ListParagraph"/>
        <w:numPr>
          <w:ilvl w:val="0"/>
          <w:numId w:val="2"/>
        </w:numPr>
        <w:spacing w:after="60" w:before="60"/>
      </w:pPr>
      <w:r>
        <w:rPr>
          <w:rFonts w:ascii="Arial" w:cs="Arial" w:eastAsia="Arial" w:hAnsi="Arial"/>
          <w:color w:val="1A1A1A"/>
          <w:sz w:val="22"/>
          <w:szCs w:val="22"/>
        </w:rPr>
        <w:t xml:space="preserve">Tableau de bord avec statistiques globales et graphiques</w:t>
      </w:r>
    </w:p>
    <w:p>
      <w:pPr>
        <w:pStyle w:val="ListParagraph"/>
        <w:numPr>
          <w:ilvl w:val="0"/>
          <w:numId w:val="2"/>
        </w:numPr>
        <w:spacing w:after="60" w:before="60"/>
      </w:pPr>
      <w:r>
        <w:rPr>
          <w:rFonts w:ascii="Arial" w:cs="Arial" w:eastAsia="Arial" w:hAnsi="Arial"/>
          <w:color w:val="1A1A1A"/>
          <w:sz w:val="22"/>
          <w:szCs w:val="22"/>
        </w:rPr>
        <w:t xml:space="preserve">Gestion des comptes utilisateurs (organisateurs et agents)</w:t>
      </w:r>
    </w:p>
    <w:p>
      <w:pPr>
        <w:pStyle w:val="ListParagraph"/>
        <w:numPr>
          <w:ilvl w:val="0"/>
          <w:numId w:val="2"/>
        </w:numPr>
        <w:spacing w:after="60" w:before="60"/>
      </w:pPr>
      <w:r>
        <w:rPr>
          <w:rFonts w:ascii="Arial" w:cs="Arial" w:eastAsia="Arial" w:hAnsi="Arial"/>
          <w:color w:val="1A1A1A"/>
          <w:sz w:val="22"/>
          <w:szCs w:val="22"/>
        </w:rPr>
        <w:t xml:space="preserve">Création de nouveaux comptes agents</w:t>
      </w:r>
    </w:p>
    <w:p>
      <w:pPr>
        <w:pStyle w:val="ListParagraph"/>
        <w:numPr>
          <w:ilvl w:val="0"/>
          <w:numId w:val="2"/>
        </w:numPr>
        <w:spacing w:after="60" w:before="60"/>
      </w:pPr>
      <w:r>
        <w:rPr>
          <w:rFonts w:ascii="Arial" w:cs="Arial" w:eastAsia="Arial" w:hAnsi="Arial"/>
          <w:color w:val="1A1A1A"/>
          <w:sz w:val="22"/>
          <w:szCs w:val="22"/>
        </w:rPr>
        <w:t xml:space="preserve">Paramètres système : seuil d'arriéré (défaut 1 000 FCFA), délai de notification (défaut 7 jours)</w:t>
      </w:r>
    </w:p>
    <w:p>
      <w:pPr>
        <w:pStyle w:val="ListParagraph"/>
        <w:numPr>
          <w:ilvl w:val="0"/>
          <w:numId w:val="2"/>
        </w:numPr>
        <w:spacing w:after="60" w:before="60"/>
      </w:pPr>
      <w:r>
        <w:rPr>
          <w:rFonts w:ascii="Arial" w:cs="Arial" w:eastAsia="Arial" w:hAnsi="Arial"/>
          <w:color w:val="1A1A1A"/>
          <w:sz w:val="22"/>
          <w:szCs w:val="22"/>
        </w:rPr>
        <w:t xml:space="preserve">Gestion des comptes sous surveillance</w:t>
      </w:r>
    </w:p>
    <w:p>
      <w:pPr>
        <w:pStyle w:val="ListParagraph"/>
        <w:numPr>
          <w:ilvl w:val="0"/>
          <w:numId w:val="2"/>
        </w:numPr>
        <w:spacing w:after="60" w:before="60"/>
      </w:pPr>
      <w:r>
        <w:rPr>
          <w:rFonts w:ascii="Arial" w:cs="Arial" w:eastAsia="Arial" w:hAnsi="Arial"/>
          <w:color w:val="1A1A1A"/>
          <w:sz w:val="22"/>
          <w:szCs w:val="22"/>
        </w:rPr>
        <w:t xml:space="preserve">Statistiques avancées : déclarations par mois, redevances perçues, répartition par type d'événement, top organisateurs</w:t>
      </w:r>
    </w:p>
    <w:p>
      <w:pPr>
        <w:pStyle w:val="ListParagraph"/>
        <w:numPr>
          <w:ilvl w:val="0"/>
          <w:numId w:val="2"/>
        </w:numPr>
        <w:spacing w:after="60" w:before="60"/>
      </w:pPr>
      <w:r>
        <w:rPr>
          <w:rFonts w:ascii="Arial" w:cs="Arial" w:eastAsia="Arial" w:hAnsi="Arial"/>
          <w:color w:val="1A1A1A"/>
          <w:sz w:val="22"/>
          <w:szCs w:val="22"/>
        </w:rPr>
        <w:t xml:space="preserve">Modération des événements publics (possibilité de dépublier un événement si nécessaire)</w:t>
      </w:r>
    </w:p>
    <w:p>
      <w:pPr>
        <w:pageBreakBefore/>
      </w:pPr>
      <w:r>
        <w:t xml:space="preserve"/>
      </w:r>
    </w:p>
    <w:p>
      <w:pPr>
        <w:pStyle w:val="Heading1"/>
        <w:spacing w:after="200" w:before="400"/>
      </w:pPr>
      <w:r>
        <w:rPr>
          <w:rFonts w:ascii="Arial" w:cs="Arial" w:eastAsia="Arial" w:hAnsi="Arial"/>
          <w:b/>
          <w:bCs/>
          <w:color w:val="1F4E79"/>
          <w:sz w:val="28"/>
          <w:szCs w:val="28"/>
        </w:rPr>
        <w:t xml:space="preserve">9. Module Quittance PDF</w:t>
      </w:r>
    </w:p>
    <w:p>
      <w:pPr>
        <w:spacing w:after="80" w:before="80"/>
        <w:jc w:val="both"/>
      </w:pPr>
      <w:r>
        <w:rPr>
          <w:rFonts w:ascii="Arial" w:cs="Arial" w:eastAsia="Arial" w:hAnsi="Arial"/>
          <w:color w:val="1A1A1A"/>
          <w:sz w:val="22"/>
          <w:szCs w:val="22"/>
        </w:rPr>
        <w:t xml:space="preserve">La quittance générée par l'application reproduit fidèlement la structure du document physique du BBDA avec les sections suivantes :</w:t>
      </w:r>
    </w:p>
    <w:p>
      <w:pPr>
        <w:pStyle w:val="ListParagraph"/>
        <w:numPr>
          <w:ilvl w:val="0"/>
          <w:numId w:val="2"/>
        </w:numPr>
        <w:spacing w:after="60" w:before="60"/>
      </w:pPr>
      <w:r>
        <w:rPr>
          <w:rFonts w:ascii="Arial" w:cs="Arial" w:eastAsia="Arial" w:hAnsi="Arial"/>
          <w:color w:val="1A1A1A"/>
          <w:sz w:val="22"/>
          <w:szCs w:val="22"/>
        </w:rPr>
        <w:t xml:space="preserve">En-tête : logo et coordonnées BBDA, numéro de quittance séquentiel</w:t>
      </w:r>
    </w:p>
    <w:p>
      <w:pPr>
        <w:pStyle w:val="ListParagraph"/>
        <w:numPr>
          <w:ilvl w:val="0"/>
          <w:numId w:val="2"/>
        </w:numPr>
        <w:spacing w:after="60" w:before="60"/>
      </w:pPr>
      <w:r>
        <w:rPr>
          <w:rFonts w:ascii="Arial" w:cs="Arial" w:eastAsia="Arial" w:hAnsi="Arial"/>
          <w:color w:val="1A1A1A"/>
          <w:sz w:val="22"/>
          <w:szCs w:val="22"/>
        </w:rPr>
        <w:t xml:space="preserve">Corps : informations de l'organisateur, établissement, période, objet (Redevance de droit d'auteur)</w:t>
      </w:r>
    </w:p>
    <w:p>
      <w:pPr>
        <w:pStyle w:val="ListParagraph"/>
        <w:numPr>
          <w:ilvl w:val="0"/>
          <w:numId w:val="2"/>
        </w:numPr>
        <w:spacing w:after="60" w:before="60"/>
      </w:pPr>
      <w:r>
        <w:rPr>
          <w:rFonts w:ascii="Arial" w:cs="Arial" w:eastAsia="Arial" w:hAnsi="Arial"/>
          <w:color w:val="1A1A1A"/>
          <w:sz w:val="22"/>
          <w:szCs w:val="22"/>
        </w:rPr>
        <w:t xml:space="preserve">Montants : Droit annuel / Droit arriéré / Droit exigible</w:t>
      </w:r>
    </w:p>
    <w:p>
      <w:pPr>
        <w:pStyle w:val="ListParagraph"/>
        <w:numPr>
          <w:ilvl w:val="0"/>
          <w:numId w:val="2"/>
        </w:numPr>
        <w:spacing w:after="60" w:before="60"/>
      </w:pPr>
      <w:r>
        <w:rPr>
          <w:rFonts w:ascii="Arial" w:cs="Arial" w:eastAsia="Arial" w:hAnsi="Arial"/>
          <w:color w:val="1A1A1A"/>
          <w:sz w:val="22"/>
          <w:szCs w:val="22"/>
        </w:rPr>
        <w:t xml:space="preserve">Tableau : Droits (type/montant), Étiquettes, Pénalités, Mode de paiement</w:t>
      </w:r>
    </w:p>
    <w:p>
      <w:pPr>
        <w:pStyle w:val="ListParagraph"/>
        <w:numPr>
          <w:ilvl w:val="0"/>
          <w:numId w:val="2"/>
        </w:numPr>
        <w:spacing w:after="60" w:before="60"/>
      </w:pPr>
      <w:r>
        <w:rPr>
          <w:rFonts w:ascii="Arial" w:cs="Arial" w:eastAsia="Arial" w:hAnsi="Arial"/>
          <w:color w:val="1A1A1A"/>
          <w:sz w:val="22"/>
          <w:szCs w:val="22"/>
        </w:rPr>
        <w:t xml:space="preserve">Pied : somme totale en chiffres et en lettres, lieu, date, signature agent BBDA</w:t>
      </w:r>
    </w:p>
    <w:p>
      <w:pPr>
        <w:pStyle w:val="ListParagraph"/>
        <w:numPr>
          <w:ilvl w:val="0"/>
          <w:numId w:val="2"/>
        </w:numPr>
        <w:spacing w:after="60" w:before="60"/>
      </w:pPr>
      <w:r>
        <w:rPr>
          <w:rFonts w:ascii="Arial" w:cs="Arial" w:eastAsia="Arial" w:hAnsi="Arial"/>
          <w:color w:val="1A1A1A"/>
          <w:sz w:val="22"/>
          <w:szCs w:val="22"/>
        </w:rPr>
        <w:t xml:space="preserve">Téléchargeable depuis l'espace organisateur dès génération</w:t>
      </w:r>
    </w:p>
    <w:p>
      <w:pPr>
        <w:pageBreakBefore/>
      </w:pPr>
      <w:r>
        <w:t xml:space="preserve"/>
      </w:r>
    </w:p>
    <w:p>
      <w:pPr>
        <w:pStyle w:val="Heading1"/>
        <w:spacing w:after="200" w:before="400"/>
      </w:pPr>
      <w:r>
        <w:rPr>
          <w:rFonts w:ascii="Arial" w:cs="Arial" w:eastAsia="Arial" w:hAnsi="Arial"/>
          <w:b/>
          <w:bCs/>
          <w:color w:val="1F4E79"/>
          <w:sz w:val="28"/>
          <w:szCs w:val="28"/>
        </w:rPr>
        <w:t xml:space="preserve">10. Module Notifications</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0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Événement déclencheur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Destinataire</w:t>
            </w:r>
          </w:p>
        </w:tc>
        <w:tc>
          <w:tcPr>
            <w:tcW w:type="dxa" w:w="2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Déclaration soumise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Montant fixé par l'agent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Quittance disponible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Événement publié sur la face publique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Rappel arriéré (J+7)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Nouvelle déclaration bloquée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 + Agent</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Compte sous surveillance reconnecté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Agent + Admin</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Email + Alerte dashboard</w:t>
            </w:r>
          </w:p>
        </w:tc>
      </w:tr>
    </w:tbl>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single" w:color="CCCCCC" w:sz="1"/>
              <w:left w:val="single" w:color="CCCCCC" w:sz="1"/>
              <w:bottom w:val="single" w:color="CCCCCC" w:sz="1"/>
              <w:right w:val="single" w:color="CCCCCC" w:sz="1"/>
            </w:tcBorders>
            <w:shd w:fill="F3E5F5" w:val="clear"/>
            <w:tcMar>
              <w:top w:type="dxa" w:w="80"/>
              <w:left w:type="dxa" w:w="180"/>
              <w:bottom w:type="dxa" w:w="80"/>
              <w:right w:type="dxa" w:w="180"/>
            </w:tcMar>
          </w:tcPr>
          <w:p>
            <w:r>
              <w:rPr>
                <w:rFonts w:ascii="Arial" w:cs="Arial" w:eastAsia="Arial" w:hAnsi="Arial"/>
                <w:b/>
                <w:bCs/>
                <w:color w:val="4A235A"/>
                <w:sz w:val="20"/>
                <w:szCs w:val="20"/>
              </w:rPr>
              <w:t xml:space="preserve">🔮 PERSPECTIVE D'ÉVOLUTION : </w:t>
            </w:r>
            <w:r>
              <w:rPr>
                <w:rFonts w:ascii="Arial" w:cs="Arial" w:eastAsia="Arial" w:hAnsi="Arial"/>
                <w:color w:val="1A1A1A"/>
                <w:sz w:val="20"/>
                <w:szCs w:val="20"/>
              </w:rPr>
              <w:t xml:space="preserve">Notifications WhatsApp via WhatsApp Business API — prévues comme évolution future pour toucher les organisateurs sans email.</w:t>
            </w:r>
          </w:p>
        </w:tc>
      </w:tr>
    </w:tbl>
    <w:p>
      <w:pPr>
        <w:pageBreakBefore/>
      </w:pPr>
      <w:r>
        <w:t xml:space="preserve"/>
      </w:r>
    </w:p>
    <w:p>
      <w:pPr>
        <w:pStyle w:val="Heading1"/>
        <w:spacing w:after="200" w:before="400"/>
      </w:pPr>
      <w:r>
        <w:rPr>
          <w:rFonts w:ascii="Arial" w:cs="Arial" w:eastAsia="Arial" w:hAnsi="Arial"/>
          <w:b/>
          <w:bCs/>
          <w:color w:val="1F4E79"/>
          <w:sz w:val="28"/>
          <w:szCs w:val="28"/>
        </w:rPr>
        <w:t xml:space="preserve">11. Gestion des arriérés</w:t>
      </w:r>
    </w:p>
    <w:p>
      <w:pPr>
        <w:pStyle w:val="Heading2"/>
        <w:spacing w:after="140" w:before="280"/>
      </w:pPr>
      <w:r>
        <w:rPr>
          <w:rFonts w:ascii="Arial" w:cs="Arial" w:eastAsia="Arial" w:hAnsi="Arial"/>
          <w:b/>
          <w:bCs/>
          <w:color w:val="2E74B5"/>
          <w:sz w:val="24"/>
          <w:szCs w:val="24"/>
        </w:rPr>
        <w:t xml:space="preserve">11.1. Règles de gestion</w:t>
      </w:r>
    </w:p>
    <w:p>
      <w:pPr>
        <w:pStyle w:val="ListParagraph"/>
        <w:numPr>
          <w:ilvl w:val="0"/>
          <w:numId w:val="2"/>
        </w:numPr>
        <w:spacing w:after="60" w:before="60"/>
      </w:pPr>
      <w:r>
        <w:rPr>
          <w:rFonts w:ascii="Arial" w:cs="Arial" w:eastAsia="Arial" w:hAnsi="Arial"/>
          <w:color w:val="1A1A1A"/>
          <w:sz w:val="22"/>
          <w:szCs w:val="22"/>
        </w:rPr>
        <w:t xml:space="preserve">Seuil d'alerte : 1 000 FCFA (paramétrable par l'Administrateur)</w:t>
      </w:r>
    </w:p>
    <w:p>
      <w:pPr>
        <w:pStyle w:val="ListParagraph"/>
        <w:numPr>
          <w:ilvl w:val="0"/>
          <w:numId w:val="2"/>
        </w:numPr>
        <w:spacing w:after="60" w:before="60"/>
      </w:pPr>
      <w:r>
        <w:rPr>
          <w:rFonts w:ascii="Arial" w:cs="Arial" w:eastAsia="Arial" w:hAnsi="Arial"/>
          <w:color w:val="1A1A1A"/>
          <w:sz w:val="22"/>
          <w:szCs w:val="22"/>
        </w:rPr>
        <w:t xml:space="preserve">Délai avant première notification : 7 jours après la date d'échéance</w:t>
      </w:r>
    </w:p>
    <w:p>
      <w:pPr>
        <w:pStyle w:val="ListParagraph"/>
        <w:numPr>
          <w:ilvl w:val="0"/>
          <w:numId w:val="2"/>
        </w:numPr>
        <w:spacing w:after="60" w:before="60"/>
      </w:pPr>
      <w:r>
        <w:rPr>
          <w:rFonts w:ascii="Arial" w:cs="Arial" w:eastAsia="Arial" w:hAnsi="Arial"/>
          <w:color w:val="1A1A1A"/>
          <w:sz w:val="22"/>
          <w:szCs w:val="22"/>
        </w:rPr>
        <w:t xml:space="preserve">Si arriéré ≥ seuil : toute nouvelle déclaration est bloquée automatiquement</w:t>
      </w:r>
    </w:p>
    <w:p>
      <w:pPr>
        <w:pStyle w:val="ListParagraph"/>
        <w:numPr>
          <w:ilvl w:val="0"/>
          <w:numId w:val="2"/>
        </w:numPr>
        <w:spacing w:after="60" w:before="60"/>
      </w:pPr>
      <w:r>
        <w:rPr>
          <w:rFonts w:ascii="Arial" w:cs="Arial" w:eastAsia="Arial" w:hAnsi="Arial"/>
          <w:color w:val="1A1A1A"/>
          <w:sz w:val="22"/>
          <w:szCs w:val="22"/>
        </w:rPr>
        <w:t xml:space="preserve">Le déblocage est effectué manuellement par l'agent après confirmation du règlement</w:t>
      </w:r>
    </w:p>
    <w:p>
      <w:pPr>
        <w:pStyle w:val="Heading2"/>
        <w:spacing w:after="140" w:before="280"/>
      </w:pPr>
      <w:r>
        <w:rPr>
          <w:rFonts w:ascii="Arial" w:cs="Arial" w:eastAsia="Arial" w:hAnsi="Arial"/>
          <w:b/>
          <w:bCs/>
          <w:color w:val="2E74B5"/>
          <w:sz w:val="24"/>
          <w:szCs w:val="24"/>
        </w:rPr>
        <w:t xml:space="preserve">11.2. Statuts d'un compte organisateur</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500"/>
        <w:gridCol w:w="650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Statut</w:t>
            </w:r>
          </w:p>
        </w:tc>
        <w:tc>
          <w:tcPr>
            <w:tcW w:type="dxa" w:w="6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Condition et conséquence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Actif</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Aucun arriéré ou arriéré &lt; seuil. Toutes les fonctionnalités disponibles.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En arriéré</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Arriéré ≥ seuil. Nouvelle déclaration bloquée. Email de rappel envoyé.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Bloqué</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Arriéré non réglé après relances. Compte gelé par l'agent.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Sous surveillance</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Organisateur introuvable. Alerte spéciale si reconnexion.</w:t>
            </w:r>
          </w:p>
        </w:tc>
      </w:tr>
    </w:tbl>
    <w:p>
      <w:pPr>
        <w:pStyle w:val="Heading2"/>
        <w:spacing w:after="140" w:before="280"/>
      </w:pPr>
      <w:r>
        <w:rPr>
          <w:rFonts w:ascii="Arial" w:cs="Arial" w:eastAsia="Arial" w:hAnsi="Arial"/>
          <w:b/>
          <w:bCs/>
          <w:color w:val="2E74B5"/>
          <w:sz w:val="24"/>
          <w:szCs w:val="24"/>
        </w:rPr>
        <w:t xml:space="preserve">11.3. Système d'alerte — Compte sous surveillance</w:t>
      </w:r>
    </w:p>
    <w:p>
      <w:pPr>
        <w:pStyle w:val="ListParagraph"/>
        <w:numPr>
          <w:ilvl w:val="0"/>
          <w:numId w:val="2"/>
        </w:numPr>
        <w:spacing w:after="60" w:before="60"/>
      </w:pPr>
      <w:r>
        <w:rPr>
          <w:rFonts w:ascii="Arial" w:cs="Arial" w:eastAsia="Arial" w:hAnsi="Arial"/>
          <w:color w:val="1A1A1A"/>
          <w:sz w:val="22"/>
          <w:szCs w:val="22"/>
        </w:rPr>
        <w:t xml:space="preserve">Quand un compte 'sous surveillance' se reconnecte : alerte immédiate dans le tableau de bord agent (badge rouge) + email à tous les agents et l'administrateur</w:t>
      </w:r>
    </w:p>
    <w:p>
      <w:pPr>
        <w:pageBreakBefore/>
      </w:pPr>
      <w:r>
        <w:t xml:space="preserve"/>
      </w:r>
    </w:p>
    <w:p>
      <w:pPr>
        <w:pStyle w:val="Heading1"/>
        <w:spacing w:after="200" w:before="400"/>
      </w:pPr>
      <w:r>
        <w:rPr>
          <w:rFonts w:ascii="Arial" w:cs="Arial" w:eastAsia="Arial" w:hAnsi="Arial"/>
          <w:b/>
          <w:bCs/>
          <w:color w:val="1F4E79"/>
          <w:sz w:val="28"/>
          <w:szCs w:val="28"/>
        </w:rPr>
        <w:t xml:space="preserve">12. Besoins non fonctionnels</w:t>
      </w:r>
    </w:p>
    <w:p>
      <w:pPr>
        <w:pStyle w:val="Heading2"/>
        <w:spacing w:after="140" w:before="280"/>
      </w:pPr>
      <w:r>
        <w:rPr>
          <w:rFonts w:ascii="Arial" w:cs="Arial" w:eastAsia="Arial" w:hAnsi="Arial"/>
          <w:b/>
          <w:bCs/>
          <w:color w:val="2E74B5"/>
          <w:sz w:val="24"/>
          <w:szCs w:val="24"/>
        </w:rPr>
        <w:t xml:space="preserve">12.1. Ergonomie</w:t>
      </w:r>
    </w:p>
    <w:p>
      <w:pPr>
        <w:pStyle w:val="ListParagraph"/>
        <w:numPr>
          <w:ilvl w:val="0"/>
          <w:numId w:val="2"/>
        </w:numPr>
        <w:spacing w:after="60" w:before="60"/>
      </w:pPr>
      <w:r>
        <w:rPr>
          <w:rFonts w:ascii="Arial" w:cs="Arial" w:eastAsia="Arial" w:hAnsi="Arial"/>
          <w:color w:val="1A1A1A"/>
          <w:sz w:val="22"/>
          <w:szCs w:val="22"/>
        </w:rPr>
        <w:t xml:space="preserve">Interface publique moderne et épurée, inspirée de Veenue.io, adaptée au marché burkinabè</w:t>
      </w:r>
    </w:p>
    <w:p>
      <w:pPr>
        <w:pStyle w:val="ListParagraph"/>
        <w:numPr>
          <w:ilvl w:val="0"/>
          <w:numId w:val="2"/>
        </w:numPr>
        <w:spacing w:after="60" w:before="60"/>
      </w:pPr>
      <w:r>
        <w:rPr>
          <w:rFonts w:ascii="Arial" w:cs="Arial" w:eastAsia="Arial" w:hAnsi="Arial"/>
          <w:color w:val="1A1A1A"/>
          <w:sz w:val="22"/>
          <w:szCs w:val="22"/>
        </w:rPr>
        <w:t xml:space="preserve">Interface privée simple et intuitive pour les organisateurs non experts en informatique</w:t>
      </w:r>
    </w:p>
    <w:p>
      <w:pPr>
        <w:pStyle w:val="ListParagraph"/>
        <w:numPr>
          <w:ilvl w:val="0"/>
          <w:numId w:val="2"/>
        </w:numPr>
        <w:spacing w:after="60" w:before="60"/>
      </w:pPr>
      <w:r>
        <w:rPr>
          <w:rFonts w:ascii="Arial" w:cs="Arial" w:eastAsia="Arial" w:hAnsi="Arial"/>
          <w:color w:val="1A1A1A"/>
          <w:sz w:val="22"/>
          <w:szCs w:val="22"/>
        </w:rPr>
        <w:t xml:space="preserve">Messages en français, clairs et compréhensibles</w:t>
      </w:r>
    </w:p>
    <w:p>
      <w:pPr>
        <w:pStyle w:val="ListParagraph"/>
        <w:numPr>
          <w:ilvl w:val="0"/>
          <w:numId w:val="2"/>
        </w:numPr>
        <w:spacing w:after="60" w:before="60"/>
      </w:pPr>
      <w:r>
        <w:rPr>
          <w:rFonts w:ascii="Arial" w:cs="Arial" w:eastAsia="Arial" w:hAnsi="Arial"/>
          <w:color w:val="1A1A1A"/>
          <w:sz w:val="22"/>
          <w:szCs w:val="22"/>
        </w:rPr>
        <w:t xml:space="preserve">Design responsive : utilisable sur ordinateur et tablette</w:t>
      </w:r>
    </w:p>
    <w:p>
      <w:pPr>
        <w:pStyle w:val="Heading2"/>
        <w:spacing w:after="140" w:before="280"/>
      </w:pPr>
      <w:r>
        <w:rPr>
          <w:rFonts w:ascii="Arial" w:cs="Arial" w:eastAsia="Arial" w:hAnsi="Arial"/>
          <w:b/>
          <w:bCs/>
          <w:color w:val="2E74B5"/>
          <w:sz w:val="24"/>
          <w:szCs w:val="24"/>
        </w:rPr>
        <w:t xml:space="preserve">12.2. Performance</w:t>
      </w:r>
    </w:p>
    <w:p>
      <w:pPr>
        <w:pStyle w:val="ListParagraph"/>
        <w:numPr>
          <w:ilvl w:val="0"/>
          <w:numId w:val="2"/>
        </w:numPr>
        <w:spacing w:after="60" w:before="60"/>
      </w:pPr>
      <w:r>
        <w:rPr>
          <w:rFonts w:ascii="Arial" w:cs="Arial" w:eastAsia="Arial" w:hAnsi="Arial"/>
          <w:color w:val="1A1A1A"/>
          <w:sz w:val="22"/>
          <w:szCs w:val="22"/>
        </w:rPr>
        <w:t xml:space="preserve">Temps de chargement des pages &lt; 3 secondes</w:t>
      </w:r>
    </w:p>
    <w:p>
      <w:pPr>
        <w:pStyle w:val="ListParagraph"/>
        <w:numPr>
          <w:ilvl w:val="0"/>
          <w:numId w:val="2"/>
        </w:numPr>
        <w:spacing w:after="60" w:before="60"/>
      </w:pPr>
      <w:r>
        <w:rPr>
          <w:rFonts w:ascii="Arial" w:cs="Arial" w:eastAsia="Arial" w:hAnsi="Arial"/>
          <w:color w:val="1A1A1A"/>
          <w:sz w:val="22"/>
          <w:szCs w:val="22"/>
        </w:rPr>
        <w:t xml:space="preserve">Génération de la quittance PDF &lt; 5 secondes</w:t>
      </w:r>
    </w:p>
    <w:p>
      <w:pPr>
        <w:pStyle w:val="Heading2"/>
        <w:spacing w:after="140" w:before="280"/>
      </w:pPr>
      <w:r>
        <w:rPr>
          <w:rFonts w:ascii="Arial" w:cs="Arial" w:eastAsia="Arial" w:hAnsi="Arial"/>
          <w:b/>
          <w:bCs/>
          <w:color w:val="2E74B5"/>
          <w:sz w:val="24"/>
          <w:szCs w:val="24"/>
        </w:rPr>
        <w:t xml:space="preserve">12.3. Sécurité</w:t>
      </w:r>
    </w:p>
    <w:p>
      <w:pPr>
        <w:pStyle w:val="ListParagraph"/>
        <w:numPr>
          <w:ilvl w:val="0"/>
          <w:numId w:val="2"/>
        </w:numPr>
        <w:spacing w:after="60" w:before="60"/>
      </w:pPr>
      <w:r>
        <w:rPr>
          <w:rFonts w:ascii="Arial" w:cs="Arial" w:eastAsia="Arial" w:hAnsi="Arial"/>
          <w:color w:val="1A1A1A"/>
          <w:sz w:val="22"/>
          <w:szCs w:val="22"/>
        </w:rPr>
        <w:t xml:space="preserve">Hashage des mots de passe avec bcrypt</w:t>
      </w:r>
    </w:p>
    <w:p>
      <w:pPr>
        <w:pStyle w:val="ListParagraph"/>
        <w:numPr>
          <w:ilvl w:val="0"/>
          <w:numId w:val="2"/>
        </w:numPr>
        <w:spacing w:after="60" w:before="60"/>
      </w:pPr>
      <w:r>
        <w:rPr>
          <w:rFonts w:ascii="Arial" w:cs="Arial" w:eastAsia="Arial" w:hAnsi="Arial"/>
          <w:color w:val="1A1A1A"/>
          <w:sz w:val="22"/>
          <w:szCs w:val="22"/>
        </w:rPr>
        <w:t xml:space="preserve">Protection contre les injections SQL (requêtes préparées via SQLAlchemy)</w:t>
      </w:r>
    </w:p>
    <w:p>
      <w:pPr>
        <w:pStyle w:val="ListParagraph"/>
        <w:numPr>
          <w:ilvl w:val="0"/>
          <w:numId w:val="2"/>
        </w:numPr>
        <w:spacing w:after="60" w:before="60"/>
      </w:pPr>
      <w:r>
        <w:rPr>
          <w:rFonts w:ascii="Arial" w:cs="Arial" w:eastAsia="Arial" w:hAnsi="Arial"/>
          <w:color w:val="1A1A1A"/>
          <w:sz w:val="22"/>
          <w:szCs w:val="22"/>
        </w:rPr>
        <w:t xml:space="preserve">Protection contre les failles XSS</w:t>
      </w:r>
    </w:p>
    <w:p>
      <w:pPr>
        <w:pStyle w:val="ListParagraph"/>
        <w:numPr>
          <w:ilvl w:val="0"/>
          <w:numId w:val="2"/>
        </w:numPr>
        <w:spacing w:after="60" w:before="60"/>
      </w:pPr>
      <w:r>
        <w:rPr>
          <w:rFonts w:ascii="Arial" w:cs="Arial" w:eastAsia="Arial" w:hAnsi="Arial"/>
          <w:color w:val="1A1A1A"/>
          <w:sz w:val="22"/>
          <w:szCs w:val="22"/>
        </w:rPr>
        <w:t xml:space="preserve">Sessions sécurisées avec expiration automatique</w:t>
      </w:r>
    </w:p>
    <w:p>
      <w:pPr>
        <w:pStyle w:val="ListParagraph"/>
        <w:numPr>
          <w:ilvl w:val="0"/>
          <w:numId w:val="2"/>
        </w:numPr>
        <w:spacing w:after="60" w:before="60"/>
      </w:pPr>
      <w:r>
        <w:rPr>
          <w:rFonts w:ascii="Arial" w:cs="Arial" w:eastAsia="Arial" w:hAnsi="Arial"/>
          <w:color w:val="1A1A1A"/>
          <w:sz w:val="22"/>
          <w:szCs w:val="22"/>
        </w:rPr>
        <w:t xml:space="preserve">Séparation stricte des accès : un organisateur ne peut voir que ses propres dossiers</w:t>
      </w:r>
    </w:p>
    <w:p>
      <w:pPr>
        <w:pStyle w:val="ListParagraph"/>
        <w:numPr>
          <w:ilvl w:val="0"/>
          <w:numId w:val="2"/>
        </w:numPr>
        <w:spacing w:after="60" w:before="60"/>
      </w:pPr>
      <w:r>
        <w:rPr>
          <w:rFonts w:ascii="Arial" w:cs="Arial" w:eastAsia="Arial" w:hAnsi="Arial"/>
          <w:color w:val="1A1A1A"/>
          <w:sz w:val="22"/>
          <w:szCs w:val="22"/>
        </w:rPr>
        <w:t xml:space="preserve">Les événements publics ne révèlent que les informations choisies par l'organisateur</w:t>
      </w:r>
    </w:p>
    <w:p>
      <w:pPr>
        <w:pStyle w:val="Heading2"/>
        <w:spacing w:after="140" w:before="280"/>
      </w:pPr>
      <w:r>
        <w:rPr>
          <w:rFonts w:ascii="Arial" w:cs="Arial" w:eastAsia="Arial" w:hAnsi="Arial"/>
          <w:b/>
          <w:bCs/>
          <w:color w:val="2E74B5"/>
          <w:sz w:val="24"/>
          <w:szCs w:val="24"/>
        </w:rPr>
        <w:t xml:space="preserve">12.4. Maintenabilité</w:t>
      </w:r>
    </w:p>
    <w:p>
      <w:pPr>
        <w:pStyle w:val="ListParagraph"/>
        <w:numPr>
          <w:ilvl w:val="0"/>
          <w:numId w:val="2"/>
        </w:numPr>
        <w:spacing w:after="60" w:before="60"/>
      </w:pPr>
      <w:r>
        <w:rPr>
          <w:rFonts w:ascii="Arial" w:cs="Arial" w:eastAsia="Arial" w:hAnsi="Arial"/>
          <w:color w:val="1A1A1A"/>
          <w:sz w:val="22"/>
          <w:szCs w:val="22"/>
        </w:rPr>
        <w:t xml:space="preserve">Architecture MVC avec Flask Blueprints</w:t>
      </w:r>
    </w:p>
    <w:p>
      <w:pPr>
        <w:pStyle w:val="ListParagraph"/>
        <w:numPr>
          <w:ilvl w:val="0"/>
          <w:numId w:val="2"/>
        </w:numPr>
        <w:spacing w:after="60" w:before="60"/>
      </w:pPr>
      <w:r>
        <w:rPr>
          <w:rFonts w:ascii="Arial" w:cs="Arial" w:eastAsia="Arial" w:hAnsi="Arial"/>
          <w:color w:val="1A1A1A"/>
          <w:sz w:val="22"/>
          <w:szCs w:val="22"/>
        </w:rPr>
        <w:t xml:space="preserve">Code structuré en modules indépendants</w:t>
      </w:r>
    </w:p>
    <w:p>
      <w:pPr>
        <w:pStyle w:val="ListParagraph"/>
        <w:numPr>
          <w:ilvl w:val="0"/>
          <w:numId w:val="2"/>
        </w:numPr>
        <w:spacing w:after="60" w:before="60"/>
      </w:pPr>
      <w:r>
        <w:rPr>
          <w:rFonts w:ascii="Arial" w:cs="Arial" w:eastAsia="Arial" w:hAnsi="Arial"/>
          <w:color w:val="1A1A1A"/>
          <w:sz w:val="22"/>
          <w:szCs w:val="22"/>
        </w:rPr>
        <w:t xml:space="preserve">Base de données normalisée et extensible</w:t>
      </w:r>
    </w:p>
    <w:p>
      <w:pPr>
        <w:pageBreakBefore/>
      </w:pPr>
      <w:r>
        <w:t xml:space="preserve"/>
      </w:r>
    </w:p>
    <w:p>
      <w:pPr>
        <w:pStyle w:val="Heading1"/>
        <w:spacing w:after="200" w:before="400"/>
      </w:pPr>
      <w:r>
        <w:rPr>
          <w:rFonts w:ascii="Arial" w:cs="Arial" w:eastAsia="Arial" w:hAnsi="Arial"/>
          <w:b/>
          <w:bCs/>
          <w:color w:val="1F4E79"/>
          <w:sz w:val="28"/>
          <w:szCs w:val="28"/>
        </w:rPr>
        <w:t xml:space="preserve">13. Architecture technique</w:t>
      </w:r>
    </w:p>
    <w:p>
      <w:pPr>
        <w:pStyle w:val="Heading2"/>
        <w:spacing w:after="140" w:before="280"/>
      </w:pPr>
      <w:r>
        <w:rPr>
          <w:rFonts w:ascii="Arial" w:cs="Arial" w:eastAsia="Arial" w:hAnsi="Arial"/>
          <w:b/>
          <w:bCs/>
          <w:color w:val="2E74B5"/>
          <w:sz w:val="24"/>
          <w:szCs w:val="24"/>
        </w:rPr>
        <w:t xml:space="preserve">13.1. Stack technologique</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3000"/>
        <w:gridCol w:w="600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Couche</w:t>
            </w:r>
          </w:p>
        </w:tc>
        <w:tc>
          <w:tcPr>
            <w:tcW w:type="dxa" w:w="6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Technologie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Backend</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Python 3.x + Flask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Frontend</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HTML5, CSS3, JavaScript (Vanilla JS)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Base de données</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MySQL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ORM</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SQLAlchemy (Flask-SQLAlchemy)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Génération PDF</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ReportLab (Python)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Notifications email</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Flask-Mail + Gmail SMTP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Authentification</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Flask-Login + bcrypt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Upload images</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Flask (stockage local static/uploads/)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Environnement développement</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VS Code + XAMPP + Continue.dev</w:t>
            </w:r>
          </w:p>
        </w:tc>
      </w:tr>
    </w:tbl>
    <w:p>
      <w:pPr>
        <w:pStyle w:val="Heading2"/>
        <w:spacing w:after="140" w:before="280"/>
      </w:pPr>
      <w:r>
        <w:rPr>
          <w:rFonts w:ascii="Arial" w:cs="Arial" w:eastAsia="Arial" w:hAnsi="Arial"/>
          <w:b/>
          <w:bCs/>
          <w:color w:val="2E74B5"/>
          <w:sz w:val="24"/>
          <w:szCs w:val="24"/>
        </w:rPr>
        <w:t xml:space="preserve">13.2. Modules Flask (Blueprints)</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500"/>
        <w:gridCol w:w="650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Module</w:t>
            </w:r>
          </w:p>
        </w:tc>
        <w:tc>
          <w:tcPr>
            <w:tcW w:type="dxa" w:w="6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Responsabilité</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public</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Face publique : accueil, événements, support, contact, légal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auth</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Inscription, connexion, déconnexion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declarations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Formulaire et suivi des déclarations (côté organisateur)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agent</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Traitement des déclarations, paiements (côté agent)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admin</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Administration globale, paramètres, statistiques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arrieres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Moteur de détection et gestion des arriérés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exports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Génération de la quittance PDF</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notifications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Envoi des emails automatiques</w:t>
            </w:r>
          </w:p>
        </w:tc>
      </w:tr>
    </w:tbl>
    <w:p>
      <w:pPr>
        <w:pageBreakBefore/>
      </w:pPr>
      <w:r>
        <w:t xml:space="preserve"/>
      </w:r>
    </w:p>
    <w:p>
      <w:pPr>
        <w:pStyle w:val="Heading1"/>
        <w:spacing w:after="200" w:before="400"/>
      </w:pPr>
      <w:r>
        <w:rPr>
          <w:rFonts w:ascii="Arial" w:cs="Arial" w:eastAsia="Arial" w:hAnsi="Arial"/>
          <w:b/>
          <w:bCs/>
          <w:color w:val="1F4E79"/>
          <w:sz w:val="28"/>
          <w:szCs w:val="28"/>
        </w:rPr>
        <w:t xml:space="preserve">14. Modèle de données</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500"/>
        <w:gridCol w:w="650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Entité</w:t>
            </w:r>
          </w:p>
        </w:tc>
        <w:tc>
          <w:tcPr>
            <w:tcW w:type="dxa" w:w="6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Attributs principaux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Utilisateur</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nom, prenom, email, mot_de_passe, role, statut, date_inscription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Organisateur</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utilisateur_id (FK), qualite, telephone, statut_compte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Declaration</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organisateur_id (FK), nature_manifestation, nom_artiste_evenement, nom_salle, adresse, ville, date_evenement, duree_heures, capacite_accueil, entree_payante, nature_diffusion, autres_details, promouvoir (bool), description_publique, affiche_path, contact_public (bool), statut, date_soumission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ListeArtiste</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declaration_id (FK), nom_artiste, discipline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EvaluationAgent</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declaration_id (FK), agent_id (FK), tarif, redevance, date_evaluation, commentaire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Paiement</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declaration_id (FK), mode_paiement, numero_cheque, montant_chiffres, montant_lettres, type_paiement, reste_a_payer, date_paiement, confirme_par (FK)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Quittance</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declaration_id (FK), numero_quittance, droit_annuel, droit_arriere, droit_exigible, droits_type, droits_montant, etiquettes_nombre, etiquettes_montant, penalites_type, penalites_montant, somme_totale_chiffres, somme_totale_lettres, date_delivrance, agent_id (FK), fichier_pdf_path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Arriere</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organisateur_id (FK), declaration_id (FK), montant_du, date_echeance, statut, date_reglement, derniere_notification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Notification</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destinataire_id (FK), type_notification, sujet, message, canal, date_envoi, statut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AlerteSurveillance</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organisateur_id (FK), date_marquage, marque_par (FK), traitee, date_traitement, traite_par (FK), commentaire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MessageContact</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id, nom, email, sujet, message, date_envoi, traite (bool)</w:t>
            </w:r>
          </w:p>
        </w:tc>
      </w:tr>
    </w:tbl>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7A1E"/>
                <w:sz w:val="20"/>
                <w:szCs w:val="20"/>
              </w:rPr>
              <w:t xml:space="preserve">✅ NOUVEAUTÉ V2</w:t>
            </w:r>
          </w:p>
          <w:p>
            <w:pPr>
              <w:spacing w:before="40"/>
              <w:jc w:val="both"/>
            </w:pPr>
            <w:r>
              <w:rPr>
                <w:rFonts w:ascii="Arial" w:cs="Arial" w:eastAsia="Arial" w:hAnsi="Arial"/>
                <w:color w:val="1A1A1A"/>
                <w:sz w:val="20"/>
                <w:szCs w:val="20"/>
              </w:rPr>
              <w:t xml:space="preserve">La table Declaration a 3 nouveaux champs par rapport à la V1 : promouvoir (bool), description_publique (text) et affiche_path (string) pour la fonctionnalité de promotion publique.</w:t>
            </w:r>
          </w:p>
        </w:tc>
      </w:tr>
    </w:tbl>
    <w:p>
      <w:pPr>
        <w:pageBreakBefore/>
      </w:pPr>
      <w:r>
        <w:t xml:space="preserve"/>
      </w:r>
    </w:p>
    <w:p>
      <w:pPr>
        <w:pStyle w:val="Heading1"/>
        <w:spacing w:after="200" w:before="400"/>
      </w:pPr>
      <w:r>
        <w:rPr>
          <w:rFonts w:ascii="Arial" w:cs="Arial" w:eastAsia="Arial" w:hAnsi="Arial"/>
          <w:b/>
          <w:bCs/>
          <w:color w:val="1F4E79"/>
          <w:sz w:val="28"/>
          <w:szCs w:val="28"/>
        </w:rPr>
        <w:t xml:space="preserve">15. Planning prévisionnel</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0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Période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49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Activités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Mois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Analyse + Backend</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Finalisation analyse DEPAJ, modèles BDD, authentification, déclarations, agent, arriérés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Mois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Backend + Frontend fonctionnel</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Quittance PDF, notifications, admin, templates HTML connectés au backend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Mois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Face publique + Tests</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Pages publiques style Veenue, promotion événements, tests, mémoire, soutenance</w:t>
            </w:r>
          </w:p>
        </w:tc>
      </w:tr>
    </w:tbl>
    <w:p>
      <w:pPr>
        <w:pageBreakBefore/>
      </w:pPr>
      <w:r>
        <w:t xml:space="preserve"/>
      </w:r>
    </w:p>
    <w:p>
      <w:pPr>
        <w:pStyle w:val="Heading1"/>
        <w:spacing w:after="200" w:before="400"/>
      </w:pPr>
      <w:r>
        <w:rPr>
          <w:rFonts w:ascii="Arial" w:cs="Arial" w:eastAsia="Arial" w:hAnsi="Arial"/>
          <w:b/>
          <w:bCs/>
          <w:color w:val="1F4E79"/>
          <w:sz w:val="28"/>
          <w:szCs w:val="28"/>
        </w:rPr>
        <w:t xml:space="preserve">16. Contraintes et perspectives</w:t>
      </w:r>
    </w:p>
    <w:p>
      <w:pPr>
        <w:pStyle w:val="Heading2"/>
        <w:spacing w:after="140" w:before="280"/>
      </w:pPr>
      <w:r>
        <w:rPr>
          <w:rFonts w:ascii="Arial" w:cs="Arial" w:eastAsia="Arial" w:hAnsi="Arial"/>
          <w:b/>
          <w:bCs/>
          <w:color w:val="2E74B5"/>
          <w:sz w:val="24"/>
          <w:szCs w:val="24"/>
        </w:rPr>
        <w:t xml:space="preserve">16.1. Contraintes</w:t>
      </w:r>
    </w:p>
    <w:p>
      <w:pPr>
        <w:pStyle w:val="ListParagraph"/>
        <w:numPr>
          <w:ilvl w:val="0"/>
          <w:numId w:val="2"/>
        </w:numPr>
        <w:spacing w:after="60" w:before="60"/>
      </w:pPr>
      <w:r>
        <w:rPr>
          <w:rFonts w:ascii="Arial" w:cs="Arial" w:eastAsia="Arial" w:hAnsi="Arial"/>
          <w:color w:val="1A1A1A"/>
          <w:sz w:val="22"/>
          <w:szCs w:val="22"/>
        </w:rPr>
        <w:t xml:space="preserve">Durée 3 mois — la face publique est développée en dernier, après le cœur métier</w:t>
      </w:r>
    </w:p>
    <w:p>
      <w:pPr>
        <w:pStyle w:val="ListParagraph"/>
        <w:numPr>
          <w:ilvl w:val="0"/>
          <w:numId w:val="2"/>
        </w:numPr>
        <w:spacing w:after="60" w:before="60"/>
      </w:pPr>
      <w:r>
        <w:rPr>
          <w:rFonts w:ascii="Arial" w:cs="Arial" w:eastAsia="Arial" w:hAnsi="Arial"/>
          <w:color w:val="1A1A1A"/>
          <w:sz w:val="22"/>
          <w:szCs w:val="22"/>
        </w:rPr>
        <w:t xml:space="preserve">Pas d'API de paiement mobile pour le prototype — confirmation manuelle par l'agent</w:t>
      </w:r>
    </w:p>
    <w:p>
      <w:pPr>
        <w:pStyle w:val="ListParagraph"/>
        <w:numPr>
          <w:ilvl w:val="0"/>
          <w:numId w:val="2"/>
        </w:numPr>
        <w:spacing w:after="60" w:before="60"/>
      </w:pPr>
      <w:r>
        <w:rPr>
          <w:rFonts w:ascii="Arial" w:cs="Arial" w:eastAsia="Arial" w:hAnsi="Arial"/>
          <w:color w:val="1A1A1A"/>
          <w:sz w:val="22"/>
          <w:szCs w:val="22"/>
        </w:rPr>
        <w:t xml:space="preserve">Upload d'affiches limité aux formats image standards (JPG, PNG, max 2 Mo)</w:t>
      </w:r>
    </w:p>
    <w:p>
      <w:pPr>
        <w:pStyle w:val="ListParagraph"/>
        <w:numPr>
          <w:ilvl w:val="0"/>
          <w:numId w:val="2"/>
        </w:numPr>
        <w:spacing w:after="60" w:before="60"/>
      </w:pPr>
      <w:r>
        <w:rPr>
          <w:rFonts w:ascii="Arial" w:cs="Arial" w:eastAsia="Arial" w:hAnsi="Arial"/>
          <w:color w:val="1A1A1A"/>
          <w:sz w:val="22"/>
          <w:szCs w:val="22"/>
        </w:rPr>
        <w:t xml:space="preserve">Notifications par email uniquement pour le prototype</w:t>
      </w:r>
    </w:p>
    <w:p>
      <w:pPr>
        <w:pStyle w:val="Heading2"/>
        <w:spacing w:after="140" w:before="280"/>
      </w:pPr>
      <w:r>
        <w:rPr>
          <w:rFonts w:ascii="Arial" w:cs="Arial" w:eastAsia="Arial" w:hAnsi="Arial"/>
          <w:b/>
          <w:bCs/>
          <w:color w:val="2E74B5"/>
          <w:sz w:val="24"/>
          <w:szCs w:val="24"/>
        </w:rPr>
        <w:t xml:space="preserve">16.2. Perspectives d'évolution</w:t>
      </w:r>
    </w:p>
    <w:p>
      <w:pPr>
        <w:pStyle w:val="ListParagraph"/>
        <w:numPr>
          <w:ilvl w:val="0"/>
          <w:numId w:val="2"/>
        </w:numPr>
        <w:spacing w:after="60" w:before="60"/>
      </w:pPr>
      <w:r>
        <w:rPr>
          <w:rFonts w:ascii="Arial" w:cs="Arial" w:eastAsia="Arial" w:hAnsi="Arial"/>
          <w:color w:val="1A1A1A"/>
          <w:sz w:val="22"/>
          <w:szCs w:val="22"/>
        </w:rPr>
        <w:t xml:space="preserve">Vente de billets en ligne avec intégration Orange Money / Moov Money</w:t>
      </w:r>
    </w:p>
    <w:p>
      <w:pPr>
        <w:pStyle w:val="ListParagraph"/>
        <w:numPr>
          <w:ilvl w:val="0"/>
          <w:numId w:val="2"/>
        </w:numPr>
        <w:spacing w:after="60" w:before="60"/>
      </w:pPr>
      <w:r>
        <w:rPr>
          <w:rFonts w:ascii="Arial" w:cs="Arial" w:eastAsia="Arial" w:hAnsi="Arial"/>
          <w:color w:val="1A1A1A"/>
          <w:sz w:val="22"/>
          <w:szCs w:val="22"/>
        </w:rPr>
        <w:t xml:space="preserve">Application mobile (Android/iOS) pour les organisateurs et le public</w:t>
      </w:r>
    </w:p>
    <w:p>
      <w:pPr>
        <w:pStyle w:val="ListParagraph"/>
        <w:numPr>
          <w:ilvl w:val="0"/>
          <w:numId w:val="2"/>
        </w:numPr>
        <w:spacing w:after="60" w:before="60"/>
      </w:pPr>
      <w:r>
        <w:rPr>
          <w:rFonts w:ascii="Arial" w:cs="Arial" w:eastAsia="Arial" w:hAnsi="Arial"/>
          <w:color w:val="1A1A1A"/>
          <w:sz w:val="22"/>
          <w:szCs w:val="22"/>
        </w:rPr>
        <w:t xml:space="preserve">Notifications WhatsApp via WhatsApp Business API</w:t>
      </w:r>
    </w:p>
    <w:p>
      <w:pPr>
        <w:pStyle w:val="ListParagraph"/>
        <w:numPr>
          <w:ilvl w:val="0"/>
          <w:numId w:val="2"/>
        </w:numPr>
        <w:spacing w:after="60" w:before="60"/>
      </w:pPr>
      <w:r>
        <w:rPr>
          <w:rFonts w:ascii="Arial" w:cs="Arial" w:eastAsia="Arial" w:hAnsi="Arial"/>
          <w:color w:val="1A1A1A"/>
          <w:sz w:val="22"/>
          <w:szCs w:val="22"/>
        </w:rPr>
        <w:t xml:space="preserve">Scan de QR codes à l'entrée des événements (validation des billets)</w:t>
      </w:r>
    </w:p>
    <w:p>
      <w:pPr>
        <w:pStyle w:val="ListParagraph"/>
        <w:numPr>
          <w:ilvl w:val="0"/>
          <w:numId w:val="2"/>
        </w:numPr>
        <w:spacing w:after="60" w:before="60"/>
      </w:pPr>
      <w:r>
        <w:rPr>
          <w:rFonts w:ascii="Arial" w:cs="Arial" w:eastAsia="Arial" w:hAnsi="Arial"/>
          <w:color w:val="1A1A1A"/>
          <w:sz w:val="22"/>
          <w:szCs w:val="22"/>
        </w:rPr>
        <w:t xml:space="preserve">Extension aux directions régionales du BBDA (13 régions)</w:t>
      </w:r>
    </w:p>
    <w:p>
      <w:pPr>
        <w:pStyle w:val="ListParagraph"/>
        <w:numPr>
          <w:ilvl w:val="0"/>
          <w:numId w:val="2"/>
        </w:numPr>
        <w:spacing w:after="60" w:before="60"/>
      </w:pPr>
      <w:r>
        <w:rPr>
          <w:rFonts w:ascii="Arial" w:cs="Arial" w:eastAsia="Arial" w:hAnsi="Arial"/>
          <w:color w:val="1A1A1A"/>
          <w:sz w:val="22"/>
          <w:szCs w:val="22"/>
        </w:rPr>
        <w:t xml:space="preserve">Intégration avec l'application existante des utilisateurs permanents (maquis, radios, TV)</w:t>
      </w:r>
    </w:p>
    <w:p>
      <w:pPr>
        <w:pStyle w:val="ListParagraph"/>
        <w:numPr>
          <w:ilvl w:val="0"/>
          <w:numId w:val="2"/>
        </w:numPr>
        <w:spacing w:after="60" w:before="60"/>
      </w:pPr>
      <w:r>
        <w:rPr>
          <w:rFonts w:ascii="Arial" w:cs="Arial" w:eastAsia="Arial" w:hAnsi="Arial"/>
          <w:color w:val="1A1A1A"/>
          <w:sz w:val="22"/>
          <w:szCs w:val="22"/>
        </w:rPr>
        <w:t xml:space="preserve">Traduction en langues nationales (mooré, dioula) pour les organisateurs non francophones</w:t>
      </w:r>
    </w:p>
    <w:p>
      <w:pPr>
        <w:pageBreakBefore/>
      </w:pPr>
      <w:r>
        <w:t xml:space="preserve"/>
      </w:r>
    </w:p>
    <w:p>
      <w:pPr>
        <w:pStyle w:val="Heading1"/>
        <w:spacing w:after="200" w:before="400"/>
      </w:pPr>
      <w:r>
        <w:rPr>
          <w:rFonts w:ascii="Arial" w:cs="Arial" w:eastAsia="Arial" w:hAnsi="Arial"/>
          <w:b/>
          <w:bCs/>
          <w:color w:val="1F4E79"/>
          <w:sz w:val="28"/>
          <w:szCs w:val="28"/>
        </w:rPr>
        <w:t xml:space="preserve">17. Validation du cahier des charges</w:t>
      </w:r>
    </w:p>
    <w:p>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22"/>
                <w:szCs w:val="22"/>
              </w:rPr>
              <w:t xml:space="preserve">Directeur de Mémoire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22"/>
                <w:szCs w:val="22"/>
              </w:rPr>
              <w:t xml:space="preserve">Maître de Stage</w:t>
            </w:r>
          </w:p>
        </w:tc>
      </w:tr>
      <w:tr>
        <w:tc>
          <w:tcPr>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color w:val="1A1A1A"/>
                <w:sz w:val="22"/>
                <w:szCs w:val="22"/>
              </w:rPr>
              <w:t xml:space="preserve">Nom : ………………………………………………</w:t>
            </w:r>
          </w:p>
          <w:p>
            <w:r>
              <w:t xml:space="preserve"/>
            </w:r>
          </w:p>
          <w:p>
            <w:r>
              <w:rPr>
                <w:rFonts w:ascii="Arial" w:cs="Arial" w:eastAsia="Arial" w:hAnsi="Arial"/>
                <w:color w:val="1A1A1A"/>
                <w:sz w:val="22"/>
                <w:szCs w:val="22"/>
              </w:rPr>
              <w:t xml:space="preserve">Date : ………………………………………………</w:t>
            </w:r>
          </w:p>
          <w:p>
            <w:r>
              <w:t xml:space="preserve"/>
            </w:r>
          </w:p>
          <w:p>
            <w:r>
              <w:rPr>
                <w:rFonts w:ascii="Arial" w:cs="Arial" w:eastAsia="Arial" w:hAnsi="Arial"/>
                <w:color w:val="1A1A1A"/>
                <w:sz w:val="22"/>
                <w:szCs w:val="22"/>
              </w:rPr>
              <w:t xml:space="preserve">Signature et cachet :</w:t>
            </w:r>
          </w:p>
          <w:p>
            <w:r>
              <w:t xml:space="preserve"/>
            </w:r>
          </w:p>
          <w:p>
            <w:r>
              <w:t xml:space="preserve"/>
            </w:r>
          </w:p>
          <w:p>
            <w:r>
              <w:t xml:space="preserve"/>
            </w:r>
          </w:p>
        </w:tc>
        <w:tc>
          <w:tcPr>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color w:val="1A1A1A"/>
                <w:sz w:val="22"/>
                <w:szCs w:val="22"/>
              </w:rPr>
              <w:t xml:space="preserve">Nom : ………………………………………………</w:t>
            </w:r>
          </w:p>
          <w:p>
            <w:r>
              <w:t xml:space="preserve"/>
            </w:r>
          </w:p>
          <w:p>
            <w:r>
              <w:rPr>
                <w:rFonts w:ascii="Arial" w:cs="Arial" w:eastAsia="Arial" w:hAnsi="Arial"/>
                <w:color w:val="1A1A1A"/>
                <w:sz w:val="22"/>
                <w:szCs w:val="22"/>
              </w:rPr>
              <w:t xml:space="preserve">Date : ………………………………………………</w:t>
            </w:r>
          </w:p>
          <w:p>
            <w:r>
              <w:t xml:space="preserve"/>
            </w:r>
          </w:p>
          <w:p>
            <w:r>
              <w:rPr>
                <w:rFonts w:ascii="Arial" w:cs="Arial" w:eastAsia="Arial" w:hAnsi="Arial"/>
                <w:color w:val="1A1A1A"/>
                <w:sz w:val="22"/>
                <w:szCs w:val="22"/>
              </w:rPr>
              <w:t xml:space="preserve">Signature et cachet :</w:t>
            </w:r>
          </w:p>
          <w:p>
            <w:r>
              <w:t xml:space="preserve"/>
            </w:r>
          </w:p>
          <w:p>
            <w:r>
              <w:t xml:space="preserve"/>
            </w:r>
          </w:p>
          <w:p>
            <w:r>
              <w:t xml:space="preserve"/>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pPr>
    <w:r>
      <w:rPr>
        <w:rFonts w:ascii="Arial" w:cs="Arial" w:eastAsia="Arial" w:hAnsi="Arial"/>
        <w:color w:val="888888"/>
        <w:sz w:val="17"/>
        <w:szCs w:val="17"/>
      </w:rPr>
      <w:t xml:space="preserve">Université Aube Nouvelle (U-AUBEN) — BBDA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00"/>
    </w:pPr>
    <w:r>
      <w:rPr>
        <w:rFonts w:ascii="Arial" w:cs="Arial" w:eastAsia="Arial" w:hAnsi="Arial"/>
        <w:color w:val="888888"/>
        <w:sz w:val="17"/>
        <w:szCs w:val="17"/>
      </w:rPr>
      <w:t xml:space="preserve">CAHIER DES CHARGES V2 — BBDA Events | FOFANA Samson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4B5"/>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2026-07-11T06:22:37.023Z</dcterms:created>
  <dcterms:modified xsi:type="dcterms:W3CDTF">2026-07-11T06:22:37.036Z</dcterms:modified>
</cp:coreProperties>
</file>

<file path=docProps/custom.xml><?xml version="1.0" encoding="utf-8"?>
<Properties xmlns="http://schemas.openxmlformats.org/officeDocument/2006/custom-properties" xmlns:vt="http://schemas.openxmlformats.org/officeDocument/2006/docPropsVTypes"/>
</file>