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both"/>
      </w:pPr>
      <w:r>
        <w:rPr>
          <w:rFonts w:ascii="Times New Roman" w:hAnsi="Times New Roman" w:eastAsia="Times New Roman"/>
          <w:b w:val="0"/>
          <w:i w:val="0"/>
          <w:sz w:val="24"/>
        </w:rPr>
      </w:r>
    </w:p>
    <w:p>
      <w:pPr>
        <w:spacing w:line="360" w:lineRule="auto" w:after="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i w:val="0"/>
          <w:sz w:val="26"/>
        </w:rPr>
        <w:t>UNIVERSITÉ AUBE NOUVELLE (U-AUBEN)</w:t>
      </w:r>
    </w:p>
    <w:p>
      <w:pPr>
        <w:spacing w:line="360" w:lineRule="auto" w:after="160" w:before="0"/>
        <w:ind w:firstLine="0"/>
        <w:jc w:val="center"/>
      </w:pPr>
      <w:r>
        <w:rPr>
          <w:rFonts w:ascii="Times New Roman" w:hAnsi="Times New Roman" w:eastAsia="Times New Roman"/>
          <w:b w:val="0"/>
          <w:i w:val="0"/>
          <w:sz w:val="24"/>
        </w:rPr>
        <w:t>Institut Supérieur d'Information et de Gestion (ISIG International)</w:t>
      </w:r>
    </w:p>
    <w:p>
      <w:pPr>
        <w:spacing w:line="360" w:lineRule="auto" w:after="160" w:before="0"/>
        <w:ind w:firstLine="0"/>
        <w:jc w:val="center"/>
      </w:pPr>
      <w:r>
        <w:rPr>
          <w:rFonts w:ascii="Times New Roman" w:hAnsi="Times New Roman" w:eastAsia="Times New Roman"/>
          <w:b w:val="0"/>
          <w:i w:val="0"/>
          <w:sz w:val="24"/>
        </w:rPr>
        <w:t>Filière : Informatique — Option Programmation</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i w:val="0"/>
          <w:sz w:val="28"/>
        </w:rPr>
        <w:t>MÉMOIRE DE FIN D'ÉTUDES</w:t>
      </w:r>
    </w:p>
    <w:p>
      <w:pPr>
        <w:spacing w:line="360" w:lineRule="auto" w:after="160" w:before="0"/>
        <w:ind w:firstLine="0"/>
        <w:jc w:val="center"/>
      </w:pPr>
      <w:r>
        <w:rPr>
          <w:rFonts w:ascii="Times New Roman" w:hAnsi="Times New Roman" w:eastAsia="Times New Roman"/>
          <w:b w:val="0"/>
          <w:i/>
          <w:sz w:val="24"/>
        </w:rPr>
        <w:t>en vue de l'obtention de la Licence en Technologie du Génie Informatique</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i w:val="0"/>
          <w:sz w:val="24"/>
        </w:rPr>
        <w:t>Thème</w:t>
      </w:r>
    </w:p>
    <w:p>
      <w:pPr>
        <w:spacing w:line="360" w:lineRule="auto" w:after="160" w:before="0"/>
        <w:ind w:firstLine="0"/>
        <w:jc w:val="center"/>
      </w:pPr>
      <w:r>
        <w:rPr>
          <w:rFonts w:ascii="Times New Roman" w:hAnsi="Times New Roman" w:eastAsia="Times New Roman"/>
          <w:b/>
          <w:i w:val="0"/>
          <w:sz w:val="24"/>
        </w:rPr>
        <w:t>Conception et développement d'une plateforme web de gestion des déclarations et de suivi des événements culturels occasionnels au BBDA : de la déclaration par l'organisateur à la délivrance de la quittance</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val="0"/>
          <w:i w:val="0"/>
          <w:sz w:val="24"/>
        </w:rPr>
        <w:t>Présenté et soutenu par :</w:t>
      </w:r>
    </w:p>
    <w:p>
      <w:pPr>
        <w:spacing w:line="360" w:lineRule="auto" w:after="160" w:before="0"/>
        <w:ind w:firstLine="0"/>
        <w:jc w:val="center"/>
      </w:pPr>
      <w:r>
        <w:rPr>
          <w:rFonts w:ascii="Times New Roman" w:hAnsi="Times New Roman" w:eastAsia="Times New Roman"/>
          <w:b/>
          <w:i w:val="0"/>
          <w:sz w:val="26"/>
        </w:rPr>
        <w:t>FOFANA Samson</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val="0"/>
          <w:i w:val="0"/>
          <w:sz w:val="24"/>
        </w:rPr>
        <w:t>Structure d'accueil : Bureau Burkinabè du Droit d'Auteur (BBDA)</w:t>
      </w:r>
    </w:p>
    <w:p>
      <w:pPr>
        <w:spacing w:line="360" w:lineRule="auto" w:after="160" w:before="0"/>
        <w:ind w:firstLine="0"/>
        <w:jc w:val="center"/>
      </w:pPr>
      <w:r>
        <w:rPr>
          <w:rFonts w:ascii="Times New Roman" w:hAnsi="Times New Roman" w:eastAsia="Times New Roman"/>
          <w:b w:val="0"/>
          <w:i w:val="0"/>
          <w:sz w:val="24"/>
        </w:rPr>
        <w:t>Direction de l'Exploitation, de la Perception et des Affaires Juridiques (DEPAJ)</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val="0"/>
          <w:i w:val="0"/>
          <w:sz w:val="24"/>
        </w:rPr>
        <w:t>Directeur de mémoire : [À COMPLÉTER — nom et grade]</w:t>
      </w:r>
    </w:p>
    <w:p>
      <w:pPr>
        <w:spacing w:line="360" w:lineRule="auto" w:after="160" w:before="0"/>
        <w:ind w:firstLine="0"/>
        <w:jc w:val="center"/>
      </w:pPr>
      <w:r>
        <w:rPr>
          <w:rFonts w:ascii="Times New Roman" w:hAnsi="Times New Roman" w:eastAsia="Times New Roman"/>
          <w:b w:val="0"/>
          <w:i w:val="0"/>
          <w:sz w:val="24"/>
        </w:rPr>
        <w:t>Maître de stage : [À COMPLÉTER — nom et fonction]</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i w:val="0"/>
          <w:sz w:val="24"/>
        </w:rPr>
        <w:t>Année académique 2025 – 2026</w:t>
      </w:r>
    </w:p>
    <w:p>
      <w:pPr>
        <w:spacing w:line="360" w:lineRule="auto" w:after="160" w:before="0"/>
        <w:ind w:firstLine="0"/>
        <w:jc w:val="center"/>
      </w:pPr>
      <w:r>
        <w:rPr>
          <w:rFonts w:ascii="Times New Roman" w:hAnsi="Times New Roman" w:eastAsia="Times New Roman"/>
          <w:b w:val="0"/>
          <w:i w:val="0"/>
          <w:sz w:val="24"/>
        </w:rPr>
        <w:t>Ouagadougou, Burkina Faso</w:t>
      </w:r>
    </w:p>
    <w:p>
      <w:pPr>
        <w:spacing w:line="360" w:lineRule="auto" w:after="120" w:before="0"/>
        <w:ind w:firstLine="0"/>
        <w:jc w:val="left"/>
      </w:pPr>
      <w:r>
        <w:rPr>
          <w:rFonts w:ascii="Times New Roman" w:hAnsi="Times New Roman" w:eastAsia="Times New Roman"/>
          <w:b w:val="0"/>
          <w:i/>
          <w:sz w:val="20"/>
        </w:rPr>
        <w:t>Note : remplacer la page de garde par le modèle officiel U-AUBEN si l'établissement l'exige (cf. Cours_Rédaction scientifique.pptx, diapositive 23).</w:t>
      </w:r>
    </w:p>
    <w:p>
      <w:r>
        <w:br w:type="page"/>
      </w:r>
    </w:p>
    <w:p>
      <w:pPr>
        <w:spacing w:line="360" w:lineRule="auto" w:after="160" w:before="0"/>
        <w:ind w:firstLine="0"/>
        <w:jc w:val="center"/>
      </w:pPr>
      <w:r>
        <w:rPr>
          <w:rFonts w:ascii="Times New Roman" w:hAnsi="Times New Roman" w:eastAsia="Times New Roman"/>
          <w:b/>
          <w:i w:val="0"/>
          <w:sz w:val="24"/>
        </w:rPr>
        <w:t>UNIVERSITÉ AUBE NOUVELLE (U-AUBEN)</w:t>
      </w:r>
    </w:p>
    <w:p>
      <w:pPr>
        <w:spacing w:line="360" w:lineRule="auto" w:after="160" w:before="0"/>
        <w:ind w:firstLine="0"/>
        <w:jc w:val="center"/>
      </w:pPr>
      <w:r>
        <w:rPr>
          <w:rFonts w:ascii="Times New Roman" w:hAnsi="Times New Roman" w:eastAsia="Times New Roman"/>
          <w:b w:val="0"/>
          <w:i w:val="0"/>
          <w:sz w:val="24"/>
        </w:rPr>
        <w:t>ISIG International — Licence Technologie du Génie Informatique</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i w:val="0"/>
          <w:sz w:val="24"/>
        </w:rPr>
        <w:t>Conception et développement d'une plateforme web de gestion des déclarations et de suivi des événements culturels occasionnels au BBDA</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center"/>
      </w:pPr>
      <w:r>
        <w:rPr>
          <w:rFonts w:ascii="Times New Roman" w:hAnsi="Times New Roman" w:eastAsia="Times New Roman"/>
          <w:b/>
          <w:i w:val="0"/>
          <w:sz w:val="24"/>
        </w:rPr>
        <w:t>FOFANA Samson</w:t>
      </w:r>
    </w:p>
    <w:p>
      <w:pPr>
        <w:spacing w:line="360" w:lineRule="auto" w:after="160" w:before="0"/>
        <w:ind w:firstLine="0"/>
        <w:jc w:val="center"/>
      </w:pPr>
      <w:r>
        <w:rPr>
          <w:rFonts w:ascii="Times New Roman" w:hAnsi="Times New Roman" w:eastAsia="Times New Roman"/>
          <w:b w:val="0"/>
          <w:i w:val="0"/>
          <w:sz w:val="24"/>
        </w:rPr>
        <w:t>Année académique 2025 – 2026</w:t>
      </w:r>
    </w:p>
    <w:p>
      <w:r>
        <w:br w:type="page"/>
      </w:r>
    </w:p>
    <w:p>
      <w:pPr>
        <w:pStyle w:val="Title"/>
        <w:spacing w:line="360" w:lineRule="auto" w:before="360" w:after="200"/>
        <w:ind w:firstLine="0"/>
        <w:jc w:val="center"/>
      </w:pPr>
      <w:r>
        <w:rPr>
          <w:rFonts w:ascii="Times New Roman" w:hAnsi="Times New Roman" w:eastAsia="Times New Roman"/>
          <w:b/>
          <w:i w:val="0"/>
          <w:sz w:val="32"/>
        </w:rPr>
        <w:t>DÉDICACE</w:t>
      </w:r>
    </w:p>
    <w:p>
      <w:pPr>
        <w:spacing w:line="360" w:lineRule="auto" w:after="160" w:before="0"/>
        <w:ind w:firstLine="0"/>
        <w:jc w:val="both"/>
      </w:pPr>
      <w:r>
        <w:rPr>
          <w:rFonts w:ascii="Times New Roman" w:hAnsi="Times New Roman" w:eastAsia="Times New Roman"/>
          <w:b w:val="0"/>
          <w:i/>
          <w:sz w:val="24"/>
        </w:rPr>
        <w:t xml:space="preserve">[À COMPLÉTER PAR L'ÉTUDIANT — texte personnel, une demi-page à une page. Proposition de départ à personnaliser :] </w:t>
      </w:r>
    </w:p>
    <w:p>
      <w:pPr>
        <w:spacing w:line="360" w:lineRule="auto" w:after="160" w:before="0"/>
        <w:ind w:firstLine="0"/>
        <w:jc w:val="center"/>
      </w:pPr>
      <w:r>
        <w:rPr>
          <w:rFonts w:ascii="Times New Roman" w:hAnsi="Times New Roman" w:eastAsia="Times New Roman"/>
          <w:b w:val="0"/>
          <w:i/>
          <w:sz w:val="24"/>
        </w:rPr>
        <w:t>À ma famille, pour son soutien constant tout au long de mon parcours universitaire. À mes formateurs de l'Université Aube Nouvelle, qui m'ont transmis les bases méthodologiques et techniques nécessaires à la réalisation de ce travail. Au personnel du Bureau Burkinabè du Droit d'Auteur, pour l'accueil et la confiance accordés durant ce stage.</w:t>
      </w:r>
    </w:p>
    <w:p>
      <w:r>
        <w:br w:type="page"/>
      </w:r>
    </w:p>
    <w:p>
      <w:pPr>
        <w:pStyle w:val="Title"/>
        <w:spacing w:line="360" w:lineRule="auto" w:before="360" w:after="200"/>
        <w:ind w:firstLine="0"/>
        <w:jc w:val="center"/>
      </w:pPr>
      <w:r>
        <w:rPr>
          <w:rFonts w:ascii="Times New Roman" w:hAnsi="Times New Roman" w:eastAsia="Times New Roman"/>
          <w:b/>
          <w:i w:val="0"/>
          <w:sz w:val="32"/>
        </w:rPr>
        <w:t>REMERCIEMENTS</w:t>
      </w:r>
    </w:p>
    <w:p>
      <w:pPr>
        <w:spacing w:line="360" w:lineRule="auto" w:after="160" w:before="0"/>
        <w:ind w:firstLine="0"/>
        <w:jc w:val="both"/>
      </w:pPr>
      <w:r>
        <w:rPr>
          <w:rFonts w:ascii="Times New Roman" w:hAnsi="Times New Roman" w:eastAsia="Times New Roman"/>
          <w:b w:val="0"/>
          <w:i/>
          <w:sz w:val="24"/>
        </w:rPr>
        <w:t>[À PERSONNALISER — noms exacts du directeur de mémoire, du maître de stage et des agents DEPAJ.]</w:t>
      </w:r>
    </w:p>
    <w:p>
      <w:pPr>
        <w:spacing w:line="360" w:lineRule="auto" w:after="160" w:before="0"/>
        <w:ind w:firstLine="709"/>
        <w:jc w:val="both"/>
      </w:pPr>
      <w:r>
        <w:rPr>
          <w:rFonts w:ascii="Times New Roman" w:hAnsi="Times New Roman" w:eastAsia="Times New Roman"/>
          <w:b w:val="0"/>
          <w:i w:val="0"/>
          <w:sz w:val="24"/>
        </w:rPr>
        <w:t>Au terme de ce travail, nous tenons à exprimer notre profonde gratitude à toutes les personnes qui ont contribué, de près ou de loin, à sa réalisation.</w:t>
      </w:r>
    </w:p>
    <w:p>
      <w:pPr>
        <w:spacing w:line="360" w:lineRule="auto" w:after="160" w:before="0"/>
        <w:ind w:firstLine="709"/>
        <w:jc w:val="both"/>
      </w:pPr>
      <w:r>
        <w:rPr>
          <w:rFonts w:ascii="Times New Roman" w:hAnsi="Times New Roman" w:eastAsia="Times New Roman"/>
          <w:b w:val="0"/>
          <w:i w:val="0"/>
          <w:sz w:val="24"/>
        </w:rPr>
        <w:t>Nos remerciements s'adressent en premier lieu à la Direction du Bureau Burkinabè du Droit d'Auteur (BBDA) pour nous avoir accueilli au sein de la structure, ainsi qu'à notre maître de stage [À COMPLÉTER] pour son encadrement, sa disponibilité et les précisions métier apportées tout au long du projet. Nous remercions également les agents de la Direction de l'Exploitation, de la Perception et des Affaires Juridiques (DEPAJ) pour le temps consacré aux entretiens et à l'explication du circuit papier des séances occasionnelles.</w:t>
      </w:r>
    </w:p>
    <w:p>
      <w:pPr>
        <w:spacing w:line="360" w:lineRule="auto" w:after="160" w:before="0"/>
        <w:ind w:firstLine="709"/>
        <w:jc w:val="both"/>
      </w:pPr>
      <w:r>
        <w:rPr>
          <w:rFonts w:ascii="Times New Roman" w:hAnsi="Times New Roman" w:eastAsia="Times New Roman"/>
          <w:b w:val="0"/>
          <w:i w:val="0"/>
          <w:sz w:val="24"/>
        </w:rPr>
        <w:t>Nous remercions notre directeur de mémoire [À COMPLÉTER], pour ses conseils méthodologiques et son suivi académique. Nos remerciements vont aussi à l'ensemble du corps enseignant de l'ISIG International / Université Aube Nouvelle, ainsi qu'à nos proches pour leur soutien moral.</w:t>
      </w:r>
    </w:p>
    <w:p>
      <w:r>
        <w:br w:type="page"/>
      </w:r>
    </w:p>
    <w:p>
      <w:pPr>
        <w:pStyle w:val="Title"/>
        <w:spacing w:line="360" w:lineRule="auto" w:before="360" w:after="200"/>
        <w:ind w:firstLine="0"/>
        <w:jc w:val="center"/>
      </w:pPr>
      <w:r>
        <w:rPr>
          <w:rFonts w:ascii="Times New Roman" w:hAnsi="Times New Roman" w:eastAsia="Times New Roman"/>
          <w:b/>
          <w:i w:val="0"/>
          <w:sz w:val="32"/>
        </w:rPr>
        <w:t>RÉSUMÉ</w:t>
      </w:r>
    </w:p>
    <w:p>
      <w:pPr>
        <w:spacing w:line="360" w:lineRule="auto" w:after="160" w:before="0"/>
        <w:ind w:firstLine="0"/>
        <w:jc w:val="both"/>
      </w:pPr>
      <w:r>
        <w:rPr>
          <w:rFonts w:ascii="Times New Roman" w:hAnsi="Times New Roman" w:eastAsia="Times New Roman"/>
          <w:b w:val="0"/>
          <w:i w:val="0"/>
          <w:sz w:val="24"/>
        </w:rPr>
        <w:t>Le présent mémoire porte sur la conception et le développement d'une plateforme web baptisée BBDA Events, destinée à dématérialiser le circuit de déclaration, d'évaluation, de paiement et de délivrance de quittance des événements culturels occasionnels au Bureau Burkinabè du Droit d'Auteur (BBDA). Contrairement aux utilisateurs permanents déjà couverts par une application existante, les organisateurs de séances occasionnelles (concerts, festivals, galas, spectacles) relevaient encore d'un processus entièrement manuel fondé sur des fiches papier. Après analyse du processus à la DEPAJ et formalisation des règles métier, une application Flask (architecture MVC) a été réalisée : inscription et déclaration en ligne, espace agent (fixation manuelle du tarif et de la redevance, confirmation de paiement), génération automatique de quittance PDF, notifications par courriel, gestion des arriérés avec seuil de blocage paramétrable, espace administrateur et face publique de promotion des événements quittancés. La solution est déployée en ligne (Render) et validée par une suite de tests automatisés (plus de cent tests) ainsi qu'un parcours d'intégration bout-en-bout. Les hypothèses de réduction des délais et d'amélioration du recouvrement sont discutées au regard des mécanismes implémentés. Des perspectives (paiement en ligne, billetterie, diagrammes UML formels) sont proposées.</w:t>
      </w:r>
    </w:p>
    <w:p>
      <w:pPr>
        <w:spacing w:line="360" w:lineRule="auto" w:after="160" w:before="0"/>
        <w:ind w:firstLine="0"/>
        <w:jc w:val="both"/>
      </w:pPr>
      <w:r>
        <w:rPr>
          <w:rFonts w:ascii="Times New Roman" w:hAnsi="Times New Roman" w:eastAsia="Times New Roman"/>
          <w:b w:val="0"/>
          <w:i/>
          <w:sz w:val="24"/>
        </w:rPr>
        <w:t>Mots-clés : droit d'auteur ; gestion collective ; BBDA ; séance occasionnelle ; dématérialisation ; Flask ; quittance PDF ; arriérés ; Burkina Faso.</w:t>
      </w:r>
    </w:p>
    <w:p>
      <w:pPr>
        <w:spacing w:line="360" w:lineRule="auto" w:after="160" w:before="0"/>
        <w:ind w:firstLine="0"/>
        <w:jc w:val="center"/>
      </w:pPr>
      <w:r>
        <w:rPr>
          <w:rFonts w:ascii="Times New Roman" w:hAnsi="Times New Roman" w:eastAsia="Times New Roman"/>
          <w:b/>
          <w:i w:val="0"/>
          <w:sz w:val="26"/>
        </w:rPr>
        <w:t>ABSTRACT</w:t>
      </w:r>
    </w:p>
    <w:p>
      <w:pPr>
        <w:spacing w:line="360" w:lineRule="auto" w:after="160" w:before="0"/>
        <w:ind w:firstLine="0"/>
        <w:jc w:val="both"/>
      </w:pPr>
      <w:r>
        <w:rPr>
          <w:rFonts w:ascii="Times New Roman" w:hAnsi="Times New Roman" w:eastAsia="Times New Roman"/>
          <w:b w:val="0"/>
          <w:i/>
          <w:sz w:val="24"/>
        </w:rPr>
        <w:t>This bachelor's thesis presents the design and development of BBDA Events, a web platform that digitizes the declaration, assessment, payment and receipt workflow for occasional cultural events at the Burkinabe Copyright Office (BBDA). Occasional event organizers previously relied on a fully paper-based process, unlike permanent users already covered by an existing information system. Using a Flask MVC architecture, the platform delivers online declarations, agent-side fee setting, PDF receipt generation, email notifications, arrears management with account blocking, an admin console and a public promotion face for cleared events. The system is deployed online and validated through automated tests. Research hypotheses on processing time and recovery of unpaid fees are discussed against the implemented features.</w:t>
      </w:r>
    </w:p>
    <w:p>
      <w:pPr>
        <w:spacing w:line="360" w:lineRule="auto" w:after="160" w:before="0"/>
        <w:ind w:firstLine="0"/>
        <w:jc w:val="both"/>
      </w:pPr>
      <w:r>
        <w:rPr>
          <w:rFonts w:ascii="Times New Roman" w:hAnsi="Times New Roman" w:eastAsia="Times New Roman"/>
          <w:b w:val="0"/>
          <w:i/>
          <w:sz w:val="24"/>
        </w:rPr>
        <w:t>Keywords: copyright; collective management; BBDA; occasional session; digitization; Flask; PDF receipt; arrears; Burkina Faso.</w:t>
      </w:r>
    </w:p>
    <w:p>
      <w:r>
        <w:br w:type="page"/>
      </w:r>
    </w:p>
    <w:p>
      <w:pPr>
        <w:pStyle w:val="Title"/>
        <w:spacing w:line="360" w:lineRule="auto" w:before="360" w:after="200"/>
        <w:ind w:firstLine="0"/>
        <w:jc w:val="center"/>
      </w:pPr>
      <w:r>
        <w:rPr>
          <w:rFonts w:ascii="Times New Roman" w:hAnsi="Times New Roman" w:eastAsia="Times New Roman"/>
          <w:b/>
          <w:i w:val="0"/>
          <w:sz w:val="32"/>
        </w:rPr>
        <w:t>SOMMAIRE</w:t>
      </w:r>
    </w:p>
    <w:p>
      <w:pPr>
        <w:spacing w:line="360" w:lineRule="auto" w:after="40" w:before="0"/>
        <w:ind w:firstLine="0"/>
        <w:jc w:val="left"/>
      </w:pPr>
      <w:r>
        <w:rPr>
          <w:rFonts w:ascii="Times New Roman" w:hAnsi="Times New Roman" w:eastAsia="Times New Roman"/>
          <w:b w:val="0"/>
          <w:i w:val="0"/>
          <w:sz w:val="24"/>
        </w:rPr>
        <w:t>Dédicace</w:t>
      </w:r>
    </w:p>
    <w:p>
      <w:pPr>
        <w:spacing w:line="360" w:lineRule="auto" w:after="40" w:before="0"/>
        <w:ind w:firstLine="0"/>
        <w:jc w:val="left"/>
      </w:pPr>
      <w:r>
        <w:rPr>
          <w:rFonts w:ascii="Times New Roman" w:hAnsi="Times New Roman" w:eastAsia="Times New Roman"/>
          <w:b w:val="0"/>
          <w:i w:val="0"/>
          <w:sz w:val="24"/>
        </w:rPr>
        <w:t>Remerciements</w:t>
      </w:r>
    </w:p>
    <w:p>
      <w:pPr>
        <w:spacing w:line="360" w:lineRule="auto" w:after="40" w:before="0"/>
        <w:ind w:firstLine="0"/>
        <w:jc w:val="left"/>
      </w:pPr>
      <w:r>
        <w:rPr>
          <w:rFonts w:ascii="Times New Roman" w:hAnsi="Times New Roman" w:eastAsia="Times New Roman"/>
          <w:b w:val="0"/>
          <w:i w:val="0"/>
          <w:sz w:val="24"/>
        </w:rPr>
        <w:t>Résumé / Abstract</w:t>
      </w:r>
    </w:p>
    <w:p>
      <w:pPr>
        <w:spacing w:line="360" w:lineRule="auto" w:after="40" w:before="0"/>
        <w:ind w:firstLine="0"/>
        <w:jc w:val="left"/>
      </w:pPr>
      <w:r>
        <w:rPr>
          <w:rFonts w:ascii="Times New Roman" w:hAnsi="Times New Roman" w:eastAsia="Times New Roman"/>
          <w:b w:val="0"/>
          <w:i w:val="0"/>
          <w:sz w:val="24"/>
        </w:rPr>
        <w:t>Liste des figures</w:t>
      </w:r>
    </w:p>
    <w:p>
      <w:pPr>
        <w:spacing w:line="360" w:lineRule="auto" w:after="40" w:before="0"/>
        <w:ind w:firstLine="0"/>
        <w:jc w:val="left"/>
      </w:pPr>
      <w:r>
        <w:rPr>
          <w:rFonts w:ascii="Times New Roman" w:hAnsi="Times New Roman" w:eastAsia="Times New Roman"/>
          <w:b w:val="0"/>
          <w:i w:val="0"/>
          <w:sz w:val="24"/>
        </w:rPr>
        <w:t>Liste des tableaux</w:t>
      </w:r>
    </w:p>
    <w:p>
      <w:pPr>
        <w:spacing w:line="360" w:lineRule="auto" w:after="40" w:before="0"/>
        <w:ind w:firstLine="0"/>
        <w:jc w:val="left"/>
      </w:pPr>
      <w:r>
        <w:rPr>
          <w:rFonts w:ascii="Times New Roman" w:hAnsi="Times New Roman" w:eastAsia="Times New Roman"/>
          <w:b w:val="0"/>
          <w:i w:val="0"/>
          <w:sz w:val="24"/>
        </w:rPr>
        <w:t>Introduction générale</w:t>
      </w:r>
    </w:p>
    <w:p>
      <w:pPr>
        <w:spacing w:line="360" w:lineRule="auto" w:after="40" w:before="0"/>
        <w:ind w:firstLine="0"/>
        <w:jc w:val="left"/>
      </w:pPr>
      <w:r>
        <w:rPr>
          <w:rFonts w:ascii="Times New Roman" w:hAnsi="Times New Roman" w:eastAsia="Times New Roman"/>
          <w:b w:val="0"/>
          <w:i w:val="0"/>
          <w:sz w:val="24"/>
        </w:rPr>
        <w:t>Chapitre 1 — Synthèse bibliographique et étude de l'existant</w:t>
      </w:r>
    </w:p>
    <w:p>
      <w:pPr>
        <w:spacing w:line="360" w:lineRule="auto" w:after="40" w:before="0"/>
        <w:ind w:firstLine="0"/>
        <w:jc w:val="left"/>
      </w:pPr>
      <w:r>
        <w:rPr>
          <w:rFonts w:ascii="Times New Roman" w:hAnsi="Times New Roman" w:eastAsia="Times New Roman"/>
          <w:b w:val="0"/>
          <w:i w:val="0"/>
          <w:sz w:val="24"/>
        </w:rPr>
        <w:t xml:space="preserve">    1.1 Définitions des concepts clés</w:t>
      </w:r>
    </w:p>
    <w:p>
      <w:pPr>
        <w:spacing w:line="360" w:lineRule="auto" w:after="40" w:before="0"/>
        <w:ind w:firstLine="0"/>
        <w:jc w:val="left"/>
      </w:pPr>
      <w:r>
        <w:rPr>
          <w:rFonts w:ascii="Times New Roman" w:hAnsi="Times New Roman" w:eastAsia="Times New Roman"/>
          <w:b w:val="0"/>
          <w:i w:val="0"/>
          <w:sz w:val="24"/>
        </w:rPr>
        <w:t xml:space="preserve">    1.2 Approches théorique et empirique (revue de littérature)</w:t>
      </w:r>
    </w:p>
    <w:p>
      <w:pPr>
        <w:spacing w:line="360" w:lineRule="auto" w:after="40" w:before="0"/>
        <w:ind w:firstLine="0"/>
        <w:jc w:val="left"/>
      </w:pPr>
      <w:r>
        <w:rPr>
          <w:rFonts w:ascii="Times New Roman" w:hAnsi="Times New Roman" w:eastAsia="Times New Roman"/>
          <w:b w:val="0"/>
          <w:i w:val="0"/>
          <w:sz w:val="24"/>
        </w:rPr>
        <w:t xml:space="preserve">    1.3 Cadre juridique et institutionnel burkinabè</w:t>
      </w:r>
    </w:p>
    <w:p>
      <w:pPr>
        <w:spacing w:line="360" w:lineRule="auto" w:after="40" w:before="0"/>
        <w:ind w:firstLine="0"/>
        <w:jc w:val="left"/>
      </w:pPr>
      <w:r>
        <w:rPr>
          <w:rFonts w:ascii="Times New Roman" w:hAnsi="Times New Roman" w:eastAsia="Times New Roman"/>
          <w:b w:val="0"/>
          <w:i w:val="0"/>
          <w:sz w:val="24"/>
        </w:rPr>
        <w:t xml:space="preserve">    1.4 État des lieux au BBDA et expériences comparées</w:t>
      </w:r>
    </w:p>
    <w:p>
      <w:pPr>
        <w:spacing w:line="360" w:lineRule="auto" w:after="40" w:before="0"/>
        <w:ind w:firstLine="0"/>
        <w:jc w:val="left"/>
      </w:pPr>
      <w:r>
        <w:rPr>
          <w:rFonts w:ascii="Times New Roman" w:hAnsi="Times New Roman" w:eastAsia="Times New Roman"/>
          <w:b w:val="0"/>
          <w:i w:val="0"/>
          <w:sz w:val="24"/>
        </w:rPr>
        <w:t>Chapitre 2 — Matériel et méthodes</w:t>
      </w:r>
    </w:p>
    <w:p>
      <w:pPr>
        <w:spacing w:line="360" w:lineRule="auto" w:after="40" w:before="0"/>
        <w:ind w:firstLine="0"/>
        <w:jc w:val="left"/>
      </w:pPr>
      <w:r>
        <w:rPr>
          <w:rFonts w:ascii="Times New Roman" w:hAnsi="Times New Roman" w:eastAsia="Times New Roman"/>
          <w:b w:val="0"/>
          <w:i w:val="0"/>
          <w:sz w:val="24"/>
        </w:rPr>
        <w:t xml:space="preserve">    2.1 Présentation de la structure d'accueil</w:t>
      </w:r>
    </w:p>
    <w:p>
      <w:pPr>
        <w:spacing w:line="360" w:lineRule="auto" w:after="40" w:before="0"/>
        <w:ind w:firstLine="0"/>
        <w:jc w:val="left"/>
      </w:pPr>
      <w:r>
        <w:rPr>
          <w:rFonts w:ascii="Times New Roman" w:hAnsi="Times New Roman" w:eastAsia="Times New Roman"/>
          <w:b w:val="0"/>
          <w:i w:val="0"/>
          <w:sz w:val="24"/>
        </w:rPr>
        <w:t xml:space="preserve">    2.2 Démarche méthodologique</w:t>
      </w:r>
    </w:p>
    <w:p>
      <w:pPr>
        <w:spacing w:line="360" w:lineRule="auto" w:after="40" w:before="0"/>
        <w:ind w:firstLine="0"/>
        <w:jc w:val="left"/>
      </w:pPr>
      <w:r>
        <w:rPr>
          <w:rFonts w:ascii="Times New Roman" w:hAnsi="Times New Roman" w:eastAsia="Times New Roman"/>
          <w:b w:val="0"/>
          <w:i w:val="0"/>
          <w:sz w:val="24"/>
        </w:rPr>
        <w:t xml:space="preserve">    2.3 Conception UML (cas d'utilisation, classes, activité, déploiement)</w:t>
      </w:r>
    </w:p>
    <w:p>
      <w:pPr>
        <w:spacing w:line="360" w:lineRule="auto" w:after="40" w:before="0"/>
        <w:ind w:firstLine="0"/>
        <w:jc w:val="left"/>
      </w:pPr>
      <w:r>
        <w:rPr>
          <w:rFonts w:ascii="Times New Roman" w:hAnsi="Times New Roman" w:eastAsia="Times New Roman"/>
          <w:b w:val="0"/>
          <w:i w:val="0"/>
          <w:sz w:val="24"/>
        </w:rPr>
        <w:t xml:space="preserve">    2.4 Outils et choix techniques</w:t>
      </w:r>
    </w:p>
    <w:p>
      <w:pPr>
        <w:spacing w:line="360" w:lineRule="auto" w:after="40" w:before="0"/>
        <w:ind w:firstLine="0"/>
        <w:jc w:val="left"/>
      </w:pPr>
      <w:r>
        <w:rPr>
          <w:rFonts w:ascii="Times New Roman" w:hAnsi="Times New Roman" w:eastAsia="Times New Roman"/>
          <w:b w:val="0"/>
          <w:i w:val="0"/>
          <w:sz w:val="24"/>
        </w:rPr>
        <w:t xml:space="preserve">    2.5 Modélisation des données et règles de gestion</w:t>
      </w:r>
    </w:p>
    <w:p>
      <w:pPr>
        <w:spacing w:line="360" w:lineRule="auto" w:after="40" w:before="0"/>
        <w:ind w:firstLine="0"/>
        <w:jc w:val="left"/>
      </w:pPr>
      <w:r>
        <w:rPr>
          <w:rFonts w:ascii="Times New Roman" w:hAnsi="Times New Roman" w:eastAsia="Times New Roman"/>
          <w:b w:val="0"/>
          <w:i w:val="0"/>
          <w:sz w:val="24"/>
        </w:rPr>
        <w:t>Chapitre 3 — Présentation et analyse des résultats</w:t>
      </w:r>
    </w:p>
    <w:p>
      <w:pPr>
        <w:spacing w:line="360" w:lineRule="auto" w:after="40" w:before="0"/>
        <w:ind w:firstLine="0"/>
        <w:jc w:val="left"/>
      </w:pPr>
      <w:r>
        <w:rPr>
          <w:rFonts w:ascii="Times New Roman" w:hAnsi="Times New Roman" w:eastAsia="Times New Roman"/>
          <w:b w:val="0"/>
          <w:i w:val="0"/>
          <w:sz w:val="24"/>
        </w:rPr>
        <w:t xml:space="preserve">    3.1 à 3.18 — Modules livrés (authentification, déclaration, agent, quittance, etc.)</w:t>
      </w:r>
    </w:p>
    <w:p>
      <w:pPr>
        <w:spacing w:line="360" w:lineRule="auto" w:after="40" w:before="0"/>
        <w:ind w:firstLine="0"/>
        <w:jc w:val="left"/>
      </w:pPr>
      <w:r>
        <w:rPr>
          <w:rFonts w:ascii="Times New Roman" w:hAnsi="Times New Roman" w:eastAsia="Times New Roman"/>
          <w:b w:val="0"/>
          <w:i w:val="0"/>
          <w:sz w:val="24"/>
        </w:rPr>
        <w:t xml:space="preserve">    3.19 Discussion, critiques et suggestions</w:t>
      </w:r>
    </w:p>
    <w:p>
      <w:pPr>
        <w:spacing w:line="360" w:lineRule="auto" w:after="40" w:before="0"/>
        <w:ind w:firstLine="0"/>
        <w:jc w:val="left"/>
      </w:pPr>
      <w:r>
        <w:rPr>
          <w:rFonts w:ascii="Times New Roman" w:hAnsi="Times New Roman" w:eastAsia="Times New Roman"/>
          <w:b w:val="0"/>
          <w:i w:val="0"/>
          <w:sz w:val="24"/>
        </w:rPr>
        <w:t xml:space="preserve">    3.20 Bilan du stage</w:t>
      </w:r>
    </w:p>
    <w:p>
      <w:pPr>
        <w:spacing w:line="360" w:lineRule="auto" w:after="40" w:before="0"/>
        <w:ind w:firstLine="0"/>
        <w:jc w:val="left"/>
      </w:pPr>
      <w:r>
        <w:rPr>
          <w:rFonts w:ascii="Times New Roman" w:hAnsi="Times New Roman" w:eastAsia="Times New Roman"/>
          <w:b w:val="0"/>
          <w:i w:val="0"/>
          <w:sz w:val="24"/>
        </w:rPr>
        <w:t>Conclusion générale</w:t>
      </w:r>
    </w:p>
    <w:p>
      <w:pPr>
        <w:spacing w:line="360" w:lineRule="auto" w:after="40" w:before="0"/>
        <w:ind w:firstLine="0"/>
        <w:jc w:val="left"/>
      </w:pPr>
      <w:r>
        <w:rPr>
          <w:rFonts w:ascii="Times New Roman" w:hAnsi="Times New Roman" w:eastAsia="Times New Roman"/>
          <w:b w:val="0"/>
          <w:i w:val="0"/>
          <w:sz w:val="24"/>
        </w:rPr>
        <w:t>Références bibliographiques</w:t>
      </w:r>
    </w:p>
    <w:p>
      <w:pPr>
        <w:spacing w:line="360" w:lineRule="auto" w:after="40" w:before="0"/>
        <w:ind w:firstLine="0"/>
        <w:jc w:val="left"/>
      </w:pPr>
      <w:r>
        <w:rPr>
          <w:rFonts w:ascii="Times New Roman" w:hAnsi="Times New Roman" w:eastAsia="Times New Roman"/>
          <w:b w:val="0"/>
          <w:i w:val="0"/>
          <w:sz w:val="24"/>
        </w:rPr>
        <w:t>Annexes</w:t>
      </w:r>
    </w:p>
    <w:p>
      <w:pPr>
        <w:spacing w:line="360" w:lineRule="auto" w:after="40" w:before="0"/>
        <w:ind w:firstLine="0"/>
        <w:jc w:val="left"/>
      </w:pPr>
      <w:r>
        <w:rPr>
          <w:rFonts w:ascii="Times New Roman" w:hAnsi="Times New Roman" w:eastAsia="Times New Roman"/>
          <w:b w:val="0"/>
          <w:i w:val="0"/>
          <w:sz w:val="24"/>
        </w:rPr>
        <w:t>Table des matières détaillée</w:t>
      </w:r>
    </w:p>
    <w:p>
      <w:pPr>
        <w:spacing w:line="360" w:lineRule="auto" w:after="40" w:before="0"/>
        <w:ind w:firstLine="0"/>
        <w:jc w:val="left"/>
      </w:pPr>
      <w:r>
        <w:rPr>
          <w:rFonts w:ascii="Times New Roman" w:hAnsi="Times New Roman" w:eastAsia="Times New Roman"/>
          <w:b w:val="0"/>
          <w:i w:val="0"/>
          <w:sz w:val="24"/>
        </w:rPr>
        <w:t>Annexe finale — Points à compléter / vérifier par l'étudiant</w:t>
      </w:r>
    </w:p>
    <w:p>
      <w:r>
        <w:br w:type="page"/>
      </w:r>
    </w:p>
    <w:p>
      <w:pPr>
        <w:pStyle w:val="Title"/>
        <w:spacing w:line="360" w:lineRule="auto" w:before="360" w:after="200"/>
        <w:ind w:firstLine="0"/>
        <w:jc w:val="center"/>
      </w:pPr>
      <w:r>
        <w:rPr>
          <w:rFonts w:ascii="Times New Roman" w:hAnsi="Times New Roman" w:eastAsia="Times New Roman"/>
          <w:b/>
          <w:i w:val="0"/>
          <w:sz w:val="32"/>
        </w:rPr>
        <w:t>LISTE DES FIGURES</w:t>
      </w:r>
    </w:p>
    <w:p>
      <w:pPr>
        <w:spacing w:line="360" w:lineRule="auto" w:after="40" w:before="0"/>
        <w:ind w:firstLine="0"/>
        <w:jc w:val="left"/>
      </w:pPr>
      <w:r>
        <w:rPr>
          <w:rFonts w:ascii="Times New Roman" w:hAnsi="Times New Roman" w:eastAsia="Times New Roman"/>
          <w:b w:val="0"/>
          <w:i w:val="0"/>
          <w:sz w:val="22"/>
        </w:rPr>
        <w:t>Figure 1 — Page d'accueil publique de BBDA Events  (01-accueil.png / 07-accueil-v2.png)</w:t>
      </w:r>
    </w:p>
    <w:p>
      <w:pPr>
        <w:spacing w:line="360" w:lineRule="auto" w:after="40" w:before="0"/>
        <w:ind w:firstLine="0"/>
        <w:jc w:val="left"/>
      </w:pPr>
      <w:r>
        <w:rPr>
          <w:rFonts w:ascii="Times New Roman" w:hAnsi="Times New Roman" w:eastAsia="Times New Roman"/>
          <w:b w:val="0"/>
          <w:i w:val="0"/>
          <w:sz w:val="22"/>
        </w:rPr>
        <w:t>Figure 2 — Formulaire d'inscription d'un organisateur  (02-inscription.png)</w:t>
      </w:r>
    </w:p>
    <w:p>
      <w:pPr>
        <w:spacing w:line="360" w:lineRule="auto" w:after="40" w:before="0"/>
        <w:ind w:firstLine="0"/>
        <w:jc w:val="left"/>
      </w:pPr>
      <w:r>
        <w:rPr>
          <w:rFonts w:ascii="Times New Roman" w:hAnsi="Times New Roman" w:eastAsia="Times New Roman"/>
          <w:b w:val="0"/>
          <w:i w:val="0"/>
          <w:sz w:val="22"/>
        </w:rPr>
        <w:t>Figure 3 — Formulaire de connexion  (03-connexion.png)</w:t>
      </w:r>
    </w:p>
    <w:p>
      <w:pPr>
        <w:spacing w:line="360" w:lineRule="auto" w:after="40" w:before="0"/>
        <w:ind w:firstLine="0"/>
        <w:jc w:val="left"/>
      </w:pPr>
      <w:r>
        <w:rPr>
          <w:rFonts w:ascii="Times New Roman" w:hAnsi="Times New Roman" w:eastAsia="Times New Roman"/>
          <w:b w:val="0"/>
          <w:i w:val="0"/>
          <w:sz w:val="22"/>
        </w:rPr>
        <w:t>Figure 4 — Message d'erreur (compte inconnu)  (08-flash-erreur.png)</w:t>
      </w:r>
    </w:p>
    <w:p>
      <w:pPr>
        <w:spacing w:line="360" w:lineRule="auto" w:after="40" w:before="0"/>
        <w:ind w:firstLine="0"/>
        <w:jc w:val="left"/>
      </w:pPr>
      <w:r>
        <w:rPr>
          <w:rFonts w:ascii="Times New Roman" w:hAnsi="Times New Roman" w:eastAsia="Times New Roman"/>
          <w:b w:val="0"/>
          <w:i w:val="0"/>
          <w:sz w:val="22"/>
        </w:rPr>
        <w:t>Figure 5 — Tableau de bord organisateur  (09-dashboard-orga1.png)</w:t>
      </w:r>
    </w:p>
    <w:p>
      <w:pPr>
        <w:spacing w:line="360" w:lineRule="auto" w:after="40" w:before="0"/>
        <w:ind w:firstLine="0"/>
        <w:jc w:val="left"/>
      </w:pPr>
      <w:r>
        <w:rPr>
          <w:rFonts w:ascii="Times New Roman" w:hAnsi="Times New Roman" w:eastAsia="Times New Roman"/>
          <w:b w:val="0"/>
          <w:i w:val="0"/>
          <w:sz w:val="22"/>
        </w:rPr>
        <w:t>Figure 6 — Compte organisateur bloqué pour arriéré  (10-dashboard-orga4-bloque.png)</w:t>
      </w:r>
    </w:p>
    <w:p>
      <w:pPr>
        <w:spacing w:line="360" w:lineRule="auto" w:after="40" w:before="0"/>
        <w:ind w:firstLine="0"/>
        <w:jc w:val="left"/>
      </w:pPr>
      <w:r>
        <w:rPr>
          <w:rFonts w:ascii="Times New Roman" w:hAnsi="Times New Roman" w:eastAsia="Times New Roman"/>
          <w:b w:val="0"/>
          <w:i w:val="0"/>
          <w:sz w:val="22"/>
        </w:rPr>
        <w:t>Figure 7 — Formulaire de déclaration — concert  (11-formulaire-concert.png)</w:t>
      </w:r>
    </w:p>
    <w:p>
      <w:pPr>
        <w:spacing w:line="360" w:lineRule="auto" w:after="40" w:before="0"/>
        <w:ind w:firstLine="0"/>
        <w:jc w:val="left"/>
      </w:pPr>
      <w:r>
        <w:rPr>
          <w:rFonts w:ascii="Times New Roman" w:hAnsi="Times New Roman" w:eastAsia="Times New Roman"/>
          <w:b w:val="0"/>
          <w:i w:val="0"/>
          <w:sz w:val="22"/>
        </w:rPr>
        <w:t>Figure 8 — Formulaire — festival avec plusieurs artistes  (12-formulaire-festival-artistes.png)</w:t>
      </w:r>
    </w:p>
    <w:p>
      <w:pPr>
        <w:spacing w:line="360" w:lineRule="auto" w:after="40" w:before="0"/>
        <w:ind w:firstLine="0"/>
        <w:jc w:val="left"/>
      </w:pPr>
      <w:r>
        <w:rPr>
          <w:rFonts w:ascii="Times New Roman" w:hAnsi="Times New Roman" w:eastAsia="Times New Roman"/>
          <w:b w:val="0"/>
          <w:i w:val="0"/>
          <w:sz w:val="22"/>
        </w:rPr>
        <w:t>Figure 9 — Validation des erreurs de saisie  (13-formulaire-erreurs.png)</w:t>
      </w:r>
    </w:p>
    <w:p>
      <w:pPr>
        <w:spacing w:line="360" w:lineRule="auto" w:after="40" w:before="0"/>
        <w:ind w:firstLine="0"/>
        <w:jc w:val="left"/>
      </w:pPr>
      <w:r>
        <w:rPr>
          <w:rFonts w:ascii="Times New Roman" w:hAnsi="Times New Roman" w:eastAsia="Times New Roman"/>
          <w:b w:val="0"/>
          <w:i w:val="0"/>
          <w:sz w:val="22"/>
        </w:rPr>
        <w:t>Figure 10 — Détail d'une déclaration (vue d'ensemble)  (15-detail-orga3-0.png)</w:t>
      </w:r>
    </w:p>
    <w:p>
      <w:pPr>
        <w:spacing w:line="360" w:lineRule="auto" w:after="40" w:before="0"/>
        <w:ind w:firstLine="0"/>
        <w:jc w:val="left"/>
      </w:pPr>
      <w:r>
        <w:rPr>
          <w:rFonts w:ascii="Times New Roman" w:hAnsi="Times New Roman" w:eastAsia="Times New Roman"/>
          <w:b w:val="0"/>
          <w:i w:val="0"/>
          <w:sz w:val="22"/>
        </w:rPr>
        <w:t>Figure 11 — Chronologie du traitement  (15-detail-orga3-1.png)</w:t>
      </w:r>
    </w:p>
    <w:p>
      <w:pPr>
        <w:spacing w:line="360" w:lineRule="auto" w:after="40" w:before="0"/>
        <w:ind w:firstLine="0"/>
        <w:jc w:val="left"/>
      </w:pPr>
      <w:r>
        <w:rPr>
          <w:rFonts w:ascii="Times New Roman" w:hAnsi="Times New Roman" w:eastAsia="Times New Roman"/>
          <w:b w:val="0"/>
          <w:i w:val="0"/>
          <w:sz w:val="22"/>
        </w:rPr>
        <w:t>Figure 12 — Détail après fixation du montant  (16-detail-montant-fixe.png)</w:t>
      </w:r>
    </w:p>
    <w:p>
      <w:pPr>
        <w:spacing w:line="360" w:lineRule="auto" w:after="40" w:before="0"/>
        <w:ind w:firstLine="0"/>
        <w:jc w:val="left"/>
      </w:pPr>
      <w:r>
        <w:rPr>
          <w:rFonts w:ascii="Times New Roman" w:hAnsi="Times New Roman" w:eastAsia="Times New Roman"/>
          <w:b w:val="0"/>
          <w:i w:val="0"/>
          <w:sz w:val="22"/>
        </w:rPr>
        <w:t>Figure 13 — Tableau de bord de l'agent BBDA  (17-dashboard-agent.png)</w:t>
      </w:r>
    </w:p>
    <w:p>
      <w:pPr>
        <w:spacing w:line="360" w:lineRule="auto" w:after="40" w:before="0"/>
        <w:ind w:firstLine="0"/>
        <w:jc w:val="left"/>
      </w:pPr>
      <w:r>
        <w:rPr>
          <w:rFonts w:ascii="Times New Roman" w:hAnsi="Times New Roman" w:eastAsia="Times New Roman"/>
          <w:b w:val="0"/>
          <w:i w:val="0"/>
          <w:sz w:val="22"/>
        </w:rPr>
        <w:t>Figure 14 — Comptes sous surveillance  (18-agent-surveillance.png)</w:t>
      </w:r>
    </w:p>
    <w:p>
      <w:pPr>
        <w:spacing w:line="360" w:lineRule="auto" w:after="40" w:before="0"/>
        <w:ind w:firstLine="0"/>
        <w:jc w:val="left"/>
      </w:pPr>
      <w:r>
        <w:rPr>
          <w:rFonts w:ascii="Times New Roman" w:hAnsi="Times New Roman" w:eastAsia="Times New Roman"/>
          <w:b w:val="0"/>
          <w:i w:val="0"/>
          <w:sz w:val="22"/>
        </w:rPr>
        <w:t>Figure 15 — Organisateurs en situation d'arriéré  (19-agent-arrieres.png)</w:t>
      </w:r>
    </w:p>
    <w:p>
      <w:pPr>
        <w:spacing w:line="360" w:lineRule="auto" w:after="40" w:before="0"/>
        <w:ind w:firstLine="0"/>
        <w:jc w:val="left"/>
      </w:pPr>
      <w:r>
        <w:rPr>
          <w:rFonts w:ascii="Times New Roman" w:hAnsi="Times New Roman" w:eastAsia="Times New Roman"/>
          <w:b w:val="0"/>
          <w:i w:val="0"/>
          <w:sz w:val="22"/>
        </w:rPr>
        <w:t>Figure 16 — Traitement d'une déclaration (agent)  (20-agent-traitement.png)</w:t>
      </w:r>
    </w:p>
    <w:p>
      <w:pPr>
        <w:spacing w:line="360" w:lineRule="auto" w:after="40" w:before="0"/>
        <w:ind w:firstLine="0"/>
        <w:jc w:val="left"/>
      </w:pPr>
      <w:r>
        <w:rPr>
          <w:rFonts w:ascii="Times New Roman" w:hAnsi="Times New Roman" w:eastAsia="Times New Roman"/>
          <w:b w:val="0"/>
          <w:i w:val="0"/>
          <w:sz w:val="22"/>
        </w:rPr>
        <w:t>Figure 17 — Calcul temps réel Tarif + Redevance  (21-avant-validation-total.png)</w:t>
      </w:r>
    </w:p>
    <w:p>
      <w:pPr>
        <w:spacing w:line="360" w:lineRule="auto" w:after="40" w:before="0"/>
        <w:ind w:firstLine="0"/>
        <w:jc w:val="left"/>
      </w:pPr>
      <w:r>
        <w:rPr>
          <w:rFonts w:ascii="Times New Roman" w:hAnsi="Times New Roman" w:eastAsia="Times New Roman"/>
          <w:b w:val="0"/>
          <w:i w:val="0"/>
          <w:sz w:val="22"/>
        </w:rPr>
        <w:t>Figure 18 — Formulaire de confirmation de paiement  (24-formulaire-paiement-vide.png)</w:t>
      </w:r>
    </w:p>
    <w:p>
      <w:pPr>
        <w:spacing w:line="360" w:lineRule="auto" w:after="40" w:before="0"/>
        <w:ind w:firstLine="0"/>
        <w:jc w:val="left"/>
      </w:pPr>
      <w:r>
        <w:rPr>
          <w:rFonts w:ascii="Times New Roman" w:hAnsi="Times New Roman" w:eastAsia="Times New Roman"/>
          <w:b w:val="0"/>
          <w:i w:val="0"/>
          <w:sz w:val="22"/>
        </w:rPr>
        <w:t>Figure 19 — Paiement rempli (exemple chèque)  (25-formulaire-paiement-rempli.png)</w:t>
      </w:r>
    </w:p>
    <w:p>
      <w:pPr>
        <w:spacing w:line="360" w:lineRule="auto" w:after="40" w:before="0"/>
        <w:ind w:firstLine="0"/>
        <w:jc w:val="left"/>
      </w:pPr>
      <w:r>
        <w:rPr>
          <w:rFonts w:ascii="Times New Roman" w:hAnsi="Times New Roman" w:eastAsia="Times New Roman"/>
          <w:b w:val="0"/>
          <w:i w:val="0"/>
          <w:sz w:val="22"/>
        </w:rPr>
        <w:t>Figure 20 — Dossier après paiement / quittance  (27-dossier-apres-paiement.png)</w:t>
      </w:r>
    </w:p>
    <w:p>
      <w:pPr>
        <w:spacing w:line="360" w:lineRule="auto" w:after="40" w:before="0"/>
        <w:ind w:firstLine="0"/>
        <w:jc w:val="left"/>
      </w:pPr>
      <w:r>
        <w:rPr>
          <w:rFonts w:ascii="Times New Roman" w:hAnsi="Times New Roman" w:eastAsia="Times New Roman"/>
          <w:b w:val="0"/>
          <w:i w:val="0"/>
          <w:sz w:val="22"/>
        </w:rPr>
        <w:t>Figure 21 — Quittance PDF générée automatiquement  (30-quittance-pdf-v3.png)</w:t>
      </w:r>
    </w:p>
    <w:p>
      <w:pPr>
        <w:spacing w:line="360" w:lineRule="auto" w:after="40" w:before="0"/>
        <w:ind w:firstLine="0"/>
        <w:jc w:val="left"/>
      </w:pPr>
      <w:r>
        <w:rPr>
          <w:rFonts w:ascii="Times New Roman" w:hAnsi="Times New Roman" w:eastAsia="Times New Roman"/>
          <w:b w:val="0"/>
          <w:i w:val="0"/>
          <w:sz w:val="22"/>
        </w:rPr>
        <w:t>Figure 22 — Quittance / mention paiement partiel  (31-quittance-partiel.png)</w:t>
      </w:r>
    </w:p>
    <w:p>
      <w:pPr>
        <w:spacing w:line="360" w:lineRule="auto" w:after="40" w:before="0"/>
        <w:ind w:firstLine="0"/>
        <w:jc w:val="left"/>
      </w:pPr>
      <w:r>
        <w:rPr>
          <w:rFonts w:ascii="Times New Roman" w:hAnsi="Times New Roman" w:eastAsia="Times New Roman"/>
          <w:b w:val="0"/>
          <w:i w:val="0"/>
          <w:sz w:val="22"/>
        </w:rPr>
        <w:t>Figure 23 — Téléchargement de la quittance  (32-detail-avec-bouton-telecharger.png)</w:t>
      </w:r>
    </w:p>
    <w:p>
      <w:pPr>
        <w:spacing w:line="360" w:lineRule="auto" w:after="40" w:before="0"/>
        <w:ind w:firstLine="0"/>
        <w:jc w:val="left"/>
      </w:pPr>
      <w:r>
        <w:rPr>
          <w:rFonts w:ascii="Times New Roman" w:hAnsi="Times New Roman" w:eastAsia="Times New Roman"/>
          <w:b w:val="0"/>
          <w:i w:val="0"/>
          <w:sz w:val="22"/>
        </w:rPr>
        <w:t>Figure 24 — Email automatique — montant fixé  (33-email-montant-fixe.png)</w:t>
      </w:r>
    </w:p>
    <w:p>
      <w:pPr>
        <w:spacing w:line="360" w:lineRule="auto" w:after="40" w:before="0"/>
        <w:ind w:firstLine="0"/>
        <w:jc w:val="left"/>
      </w:pPr>
      <w:r>
        <w:rPr>
          <w:rFonts w:ascii="Times New Roman" w:hAnsi="Times New Roman" w:eastAsia="Times New Roman"/>
          <w:b w:val="0"/>
          <w:i w:val="0"/>
          <w:sz w:val="22"/>
        </w:rPr>
        <w:t>Figure 25 — Page publique d'un événement promu  (34-detail-evenement-public.png)</w:t>
      </w:r>
    </w:p>
    <w:p>
      <w:pPr>
        <w:spacing w:line="360" w:lineRule="auto" w:after="40" w:before="0"/>
        <w:ind w:firstLine="0"/>
        <w:jc w:val="left"/>
      </w:pPr>
      <w:r>
        <w:rPr>
          <w:rFonts w:ascii="Times New Roman" w:hAnsi="Times New Roman" w:eastAsia="Times New Roman"/>
          <w:b w:val="0"/>
          <w:i w:val="0"/>
          <w:sz w:val="22"/>
        </w:rPr>
        <w:t>Figure 26 — Section promotion du formulaire  (35-formulaire-promotion.png)</w:t>
      </w:r>
    </w:p>
    <w:p>
      <w:pPr>
        <w:spacing w:line="360" w:lineRule="auto" w:after="40" w:before="0"/>
        <w:ind w:firstLine="0"/>
        <w:jc w:val="left"/>
      </w:pPr>
      <w:r>
        <w:rPr>
          <w:rFonts w:ascii="Times New Roman" w:hAnsi="Times New Roman" w:eastAsia="Times New Roman"/>
          <w:b w:val="0"/>
          <w:i w:val="0"/>
          <w:sz w:val="22"/>
        </w:rPr>
        <w:t>Figure 27 — Espace administrateur  (06-espace-admin.png)</w:t>
      </w:r>
    </w:p>
    <w:p>
      <w:pPr>
        <w:spacing w:line="360" w:lineRule="auto" w:after="40" w:before="0"/>
        <w:ind w:firstLine="0"/>
        <w:jc w:val="left"/>
      </w:pPr>
      <w:r>
        <w:rPr>
          <w:rFonts w:ascii="Times New Roman" w:hAnsi="Times New Roman" w:eastAsia="Times New Roman"/>
          <w:b w:val="0"/>
          <w:i w:val="0"/>
          <w:sz w:val="22"/>
        </w:rPr>
        <w:t>Figure 28 — Quittance papier BBDA (référence terrain)  (images/*.jpg)</w:t>
      </w:r>
    </w:p>
    <w:p>
      <w:pPr>
        <w:spacing w:line="360" w:lineRule="auto" w:after="40" w:before="0"/>
        <w:ind w:firstLine="0"/>
        <w:jc w:val="left"/>
      </w:pPr>
      <w:r>
        <w:rPr>
          <w:rFonts w:ascii="Times New Roman" w:hAnsi="Times New Roman" w:eastAsia="Times New Roman"/>
          <w:b w:val="0"/>
          <w:i w:val="0"/>
          <w:sz w:val="22"/>
        </w:rPr>
        <w:t>Figure 29 — Diagramme relationnel (annexe)  (database/schema_diagram.pdf)</w:t>
      </w:r>
    </w:p>
    <w:p>
      <w:pPr>
        <w:spacing w:line="360" w:lineRule="auto" w:after="40" w:before="0"/>
        <w:ind w:firstLine="0"/>
        <w:jc w:val="left"/>
      </w:pPr>
      <w:r>
        <w:rPr>
          <w:rFonts w:ascii="Times New Roman" w:hAnsi="Times New Roman" w:eastAsia="Times New Roman"/>
          <w:b w:val="0"/>
          <w:i w:val="0"/>
          <w:sz w:val="22"/>
        </w:rPr>
        <w:t>Figure 30 — Diagramme de cas d'utilisation  (docs/diagrammes/01-cas-utilisation.png)</w:t>
      </w:r>
    </w:p>
    <w:p>
      <w:pPr>
        <w:spacing w:line="360" w:lineRule="auto" w:after="40" w:before="0"/>
        <w:ind w:firstLine="0"/>
        <w:jc w:val="left"/>
      </w:pPr>
      <w:r>
        <w:rPr>
          <w:rFonts w:ascii="Times New Roman" w:hAnsi="Times New Roman" w:eastAsia="Times New Roman"/>
          <w:b w:val="0"/>
          <w:i w:val="0"/>
          <w:sz w:val="22"/>
        </w:rPr>
        <w:t>Figure 31 — Diagramme de classes  (docs/diagrammes/02-classes.png)</w:t>
      </w:r>
    </w:p>
    <w:p>
      <w:pPr>
        <w:spacing w:line="360" w:lineRule="auto" w:after="40" w:before="0"/>
        <w:ind w:firstLine="0"/>
        <w:jc w:val="left"/>
      </w:pPr>
      <w:r>
        <w:rPr>
          <w:rFonts w:ascii="Times New Roman" w:hAnsi="Times New Roman" w:eastAsia="Times New Roman"/>
          <w:b w:val="0"/>
          <w:i w:val="0"/>
          <w:sz w:val="22"/>
        </w:rPr>
        <w:t>Figure 32 — Diagramme d'activité du circuit métier  (docs/diagrammes/05-activite.png)</w:t>
      </w:r>
    </w:p>
    <w:p>
      <w:pPr>
        <w:spacing w:line="360" w:lineRule="auto" w:after="40" w:before="0"/>
        <w:ind w:firstLine="0"/>
        <w:jc w:val="left"/>
      </w:pPr>
      <w:r>
        <w:rPr>
          <w:rFonts w:ascii="Times New Roman" w:hAnsi="Times New Roman" w:eastAsia="Times New Roman"/>
          <w:b w:val="0"/>
          <w:i w:val="0"/>
          <w:sz w:val="22"/>
        </w:rPr>
        <w:t>Figure 33 — Diagramme de déploiement  (docs/diagrammes/06-deploiement.png)</w:t>
      </w:r>
    </w:p>
    <w:p>
      <w:pPr>
        <w:spacing w:line="360" w:lineRule="auto" w:after="40" w:before="0"/>
        <w:ind w:firstLine="0"/>
        <w:jc w:val="left"/>
      </w:pPr>
      <w:r>
        <w:rPr>
          <w:rFonts w:ascii="Times New Roman" w:hAnsi="Times New Roman" w:eastAsia="Times New Roman"/>
          <w:b w:val="0"/>
          <w:i w:val="0"/>
          <w:sz w:val="22"/>
        </w:rPr>
        <w:t>Figure 34 — Diagramme de séquence — déclaration  (docs/diagrammes/03-sequence-declaration.png)</w:t>
      </w:r>
    </w:p>
    <w:p>
      <w:pPr>
        <w:spacing w:line="360" w:lineRule="auto" w:after="40" w:before="0"/>
        <w:ind w:firstLine="0"/>
        <w:jc w:val="left"/>
      </w:pPr>
      <w:r>
        <w:rPr>
          <w:rFonts w:ascii="Times New Roman" w:hAnsi="Times New Roman" w:eastAsia="Times New Roman"/>
          <w:b w:val="0"/>
          <w:i w:val="0"/>
          <w:sz w:val="22"/>
        </w:rPr>
        <w:t>Figure 35 — Diagramme de séquence — paiement / quittance  (docs/diagrammes/04-sequence-paiement-quittance.png)</w:t>
      </w:r>
    </w:p>
    <w:p>
      <w:pPr>
        <w:pStyle w:val="Heading2"/>
        <w:spacing w:line="360" w:lineRule="auto" w:before="240" w:after="200"/>
        <w:ind w:firstLine="0"/>
        <w:jc w:val="left"/>
      </w:pPr>
      <w:r>
        <w:rPr>
          <w:rFonts w:ascii="Times New Roman" w:hAnsi="Times New Roman" w:eastAsia="Times New Roman"/>
          <w:b/>
          <w:i w:val="0"/>
          <w:sz w:val="26"/>
        </w:rPr>
        <w:t>LISTE DES TABLEAUX</w:t>
      </w:r>
    </w:p>
    <w:p>
      <w:pPr>
        <w:spacing w:line="360" w:lineRule="auto" w:after="40" w:before="0"/>
        <w:ind w:firstLine="0"/>
        <w:jc w:val="left"/>
      </w:pPr>
      <w:r>
        <w:rPr>
          <w:rFonts w:ascii="Times New Roman" w:hAnsi="Times New Roman" w:eastAsia="Times New Roman"/>
          <w:b w:val="0"/>
          <w:i w:val="0"/>
          <w:sz w:val="22"/>
        </w:rPr>
        <w:t>Tableau 1 — Comparaison utilisateurs permanents / organisateurs occasionnels</w:t>
      </w:r>
    </w:p>
    <w:p>
      <w:pPr>
        <w:spacing w:line="360" w:lineRule="auto" w:after="40" w:before="0"/>
        <w:ind w:firstLine="0"/>
        <w:jc w:val="left"/>
      </w:pPr>
      <w:r>
        <w:rPr>
          <w:rFonts w:ascii="Times New Roman" w:hAnsi="Times New Roman" w:eastAsia="Times New Roman"/>
          <w:b w:val="0"/>
          <w:i w:val="0"/>
          <w:sz w:val="22"/>
        </w:rPr>
        <w:t>Tableau 2 — Stack technique retenue et justifications</w:t>
      </w:r>
    </w:p>
    <w:p>
      <w:pPr>
        <w:spacing w:line="360" w:lineRule="auto" w:after="40" w:before="0"/>
        <w:ind w:firstLine="0"/>
        <w:jc w:val="left"/>
      </w:pPr>
      <w:r>
        <w:rPr>
          <w:rFonts w:ascii="Times New Roman" w:hAnsi="Times New Roman" w:eastAsia="Times New Roman"/>
          <w:b w:val="0"/>
          <w:i w:val="0"/>
          <w:sz w:val="22"/>
        </w:rPr>
        <w:t>Tableau 3 — Principales règles métier (extrait)</w:t>
      </w:r>
    </w:p>
    <w:p>
      <w:pPr>
        <w:spacing w:line="360" w:lineRule="auto" w:after="40" w:before="0"/>
        <w:ind w:firstLine="0"/>
        <w:jc w:val="left"/>
      </w:pPr>
      <w:r>
        <w:rPr>
          <w:rFonts w:ascii="Times New Roman" w:hAnsi="Times New Roman" w:eastAsia="Times New Roman"/>
          <w:b w:val="0"/>
          <w:i w:val="0"/>
          <w:sz w:val="22"/>
        </w:rPr>
        <w:t>Tableau 4 — Cycle des statuts d'une déclaration</w:t>
      </w:r>
    </w:p>
    <w:p>
      <w:pPr>
        <w:spacing w:line="360" w:lineRule="auto" w:after="40" w:before="0"/>
        <w:ind w:firstLine="0"/>
        <w:jc w:val="left"/>
      </w:pPr>
      <w:r>
        <w:rPr>
          <w:rFonts w:ascii="Times New Roman" w:hAnsi="Times New Roman" w:eastAsia="Times New Roman"/>
          <w:b w:val="0"/>
          <w:i w:val="0"/>
          <w:sz w:val="22"/>
        </w:rPr>
        <w:t>Tableau 5 — Objectifs spécifiques et livrables correspondants</w:t>
      </w:r>
    </w:p>
    <w:p>
      <w:r>
        <w:br w:type="page"/>
      </w:r>
    </w:p>
    <w:p>
      <w:pPr>
        <w:pStyle w:val="Title"/>
        <w:spacing w:line="360" w:lineRule="auto" w:before="360" w:after="200"/>
        <w:ind w:firstLine="0"/>
        <w:jc w:val="center"/>
      </w:pPr>
      <w:r>
        <w:rPr>
          <w:rFonts w:ascii="Times New Roman" w:hAnsi="Times New Roman" w:eastAsia="Times New Roman"/>
          <w:b/>
          <w:i w:val="0"/>
          <w:sz w:val="32"/>
        </w:rPr>
        <w:t>INTRODUCTION GÉNÉRALE</w:t>
      </w:r>
    </w:p>
    <w:p>
      <w:pPr>
        <w:pStyle w:val="Heading2"/>
        <w:spacing w:line="360" w:lineRule="auto" w:before="240" w:after="200"/>
        <w:ind w:firstLine="0"/>
        <w:jc w:val="left"/>
      </w:pPr>
      <w:r>
        <w:rPr>
          <w:rFonts w:ascii="Times New Roman" w:hAnsi="Times New Roman" w:eastAsia="Times New Roman"/>
          <w:b/>
          <w:i w:val="0"/>
          <w:sz w:val="26"/>
        </w:rPr>
        <w:t>Généralités sur le thème</w:t>
      </w:r>
    </w:p>
    <w:p>
      <w:pPr>
        <w:spacing w:line="360" w:lineRule="auto" w:after="160" w:before="0"/>
        <w:ind w:firstLine="709"/>
        <w:jc w:val="both"/>
      </w:pPr>
      <w:r>
        <w:rPr>
          <w:rFonts w:ascii="Times New Roman" w:hAnsi="Times New Roman" w:eastAsia="Times New Roman"/>
          <w:b w:val="0"/>
          <w:i w:val="0"/>
          <w:sz w:val="24"/>
        </w:rPr>
        <w:t>La gestion collective des droits d'auteur consiste, pour une organisation habilitée, à percevoir pour le compte des créateurs les redevances dues par toute personne exploitant leurs œuvres, puis à leur en reverser le produit. Au Burkina Faso, cette mission est assurée par le Bureau Burkinabè du Droit d'Auteur (BBDA), établissement public à caractère professionnel créé en 1985, chargé de la protection et de la gestion collective des droits d'auteur et des droits voisins (BBDA, s.d. ; Wikipedia, 2024). Le BBDA distingue deux grandes catégories d'utilisateurs d'œuvres protégées : les utilisateurs permanents (radios, télévisions, débits de boissons, hôtels, etc.), qui exploitent des œuvres de manière continue et doivent obtenir une autorisation préalable, et les organisateurs d'événements culturels occasionnels (concerts, festivals, galas, spectacles, foires…), relevant d'un circuit de déclaration / perception propre aux « séances occasionnelles » (Sawadogo, 2020 ; Kulture Kibaré, 2022).</w:t>
      </w:r>
    </w:p>
    <w:p>
      <w:pPr>
        <w:spacing w:line="360" w:lineRule="auto" w:after="160" w:before="0"/>
        <w:ind w:firstLine="709"/>
        <w:jc w:val="both"/>
      </w:pPr>
      <w:r>
        <w:rPr>
          <w:rFonts w:ascii="Times New Roman" w:hAnsi="Times New Roman" w:eastAsia="Times New Roman"/>
          <w:b w:val="0"/>
          <w:i w:val="0"/>
          <w:sz w:val="24"/>
        </w:rPr>
        <w:t>À ce jour, le BBDA dispose déjà d'un outil numérique dédié aux utilisateurs permanents. En revanche, le circuit de déclaration des événements occasionnels restait, au démarrage du stage, entièrement manuel et fondé sur des supports papier, de la fiche de déclaration remplie par l'organisateur jusqu'à la quittance délivrée après paiement (Protocole de stage BBDA / U-AUBEN, 2025-2026). C'est cette absence de couverture numérique qui a motivé le présent travail et conduit à la conception de la plateforme BBDA Events, accessible en ligne à l'adresse https://bbda-events.onrender.com.</w:t>
      </w:r>
    </w:p>
    <w:p>
      <w:pPr>
        <w:pStyle w:val="Heading2"/>
        <w:spacing w:line="360" w:lineRule="auto" w:before="240" w:after="200"/>
        <w:ind w:firstLine="0"/>
        <w:jc w:val="left"/>
      </w:pPr>
      <w:r>
        <w:rPr>
          <w:rFonts w:ascii="Times New Roman" w:hAnsi="Times New Roman" w:eastAsia="Times New Roman"/>
          <w:b/>
          <w:i w:val="0"/>
          <w:sz w:val="26"/>
        </w:rPr>
        <w:t>Justification du choix du sujet et motivations</w:t>
      </w:r>
    </w:p>
    <w:p>
      <w:pPr>
        <w:spacing w:line="360" w:lineRule="auto" w:after="160" w:before="0"/>
        <w:ind w:firstLine="709"/>
        <w:jc w:val="both"/>
      </w:pPr>
      <w:r>
        <w:rPr>
          <w:rFonts w:ascii="Times New Roman" w:hAnsi="Times New Roman" w:eastAsia="Times New Roman"/>
          <w:b w:val="0"/>
          <w:i w:val="0"/>
          <w:sz w:val="24"/>
        </w:rPr>
        <w:t>Le choix du sujet répond à un besoin concret exprimé par la structure d'accueil : moderniser un processus administratif encore intégralement papier, source de délais de traitement allongés et d'une charge importante pour les agents de la Direction de l'Exploitation, de la Perception et des Affaires Juridiques (DEPAJ). Sur le plan académique, le sujet mobilise la conception de systèmes d'information (modélisation de données, architecture logicielle), le développement web (back-end et front-end) et la gestion de projet (recueil de besoins, arbitrages fonctionnels, tests), sur un cas réel à fort enjeu : le recouvrement de redevances qui bénéficient in fine aux créateurs burkinabè. La pertinence du thème s'inscrit également dans la dynamique de digitalisation engagée par le BBDA en 2025 (plateforme d'adhésion / déclaration d'œuvres et application B-GEOLOC), qui confirme l'orientation institutionnelle vers la numérisation des services (leFaso.net, 2025 ; Digital Magazine Burkina, 2025).</w:t>
      </w:r>
    </w:p>
    <w:p>
      <w:pPr>
        <w:pStyle w:val="Heading2"/>
        <w:spacing w:line="360" w:lineRule="auto" w:before="240" w:after="200"/>
        <w:ind w:firstLine="0"/>
        <w:jc w:val="left"/>
      </w:pPr>
      <w:r>
        <w:rPr>
          <w:rFonts w:ascii="Times New Roman" w:hAnsi="Times New Roman" w:eastAsia="Times New Roman"/>
          <w:b/>
          <w:i w:val="0"/>
          <w:sz w:val="26"/>
        </w:rPr>
        <w:t>Identification et formulation du problème</w:t>
      </w:r>
    </w:p>
    <w:p>
      <w:pPr>
        <w:spacing w:line="360" w:lineRule="auto" w:after="160" w:before="0"/>
        <w:ind w:firstLine="709"/>
        <w:jc w:val="both"/>
      </w:pPr>
      <w:r>
        <w:rPr>
          <w:rFonts w:ascii="Times New Roman" w:hAnsi="Times New Roman" w:eastAsia="Times New Roman"/>
          <w:b w:val="0"/>
          <w:i w:val="0"/>
          <w:sz w:val="24"/>
        </w:rPr>
        <w:t>Le processus actuellement décrit pour les événements occasionnels se déroule ainsi : l'organisateur se déplace au siège du BBDA, remplit une fiche de déclaration papier ; un agent de la DEPAJ analyse les informations et fixe manuellement, sur une fiche d'évaluation, le montant dû (tarif de référence et redevance complémentaire) ; après paiement, une quittance physique est délivrée. Ce circuit présente plusieurs limites : délais allongés avec le volume de dossiers, charge de ressaisie et de classement papier, et surtout absence de suivi centralisé des paiements et des arriérés (redevances restées impayées en tout ou en partie).</w:t>
      </w:r>
    </w:p>
    <w:p>
      <w:pPr>
        <w:spacing w:line="360" w:lineRule="auto" w:after="160" w:before="0"/>
        <w:ind w:firstLine="709"/>
        <w:jc w:val="both"/>
      </w:pPr>
      <w:r>
        <w:rPr>
          <w:rFonts w:ascii="Times New Roman" w:hAnsi="Times New Roman" w:eastAsia="Times New Roman"/>
          <w:b w:val="0"/>
          <w:i w:val="0"/>
          <w:sz w:val="24"/>
        </w:rPr>
        <w:t>Le problème peut se formuler ainsi : comment le BBDA peut-il fiabiliser, accélérer et rendre traçable le traitement des déclarations d'événements culturels occasionnels et le recouvrement des redevances associées, alors que ce processus repose aujourd'hui intégralement sur des supports papier et des opérations manuelles ?</w:t>
      </w:r>
    </w:p>
    <w:p>
      <w:pPr>
        <w:pStyle w:val="Heading2"/>
        <w:spacing w:line="360" w:lineRule="auto" w:before="240" w:after="200"/>
        <w:ind w:firstLine="0"/>
        <w:jc w:val="left"/>
      </w:pPr>
      <w:r>
        <w:rPr>
          <w:rFonts w:ascii="Times New Roman" w:hAnsi="Times New Roman" w:eastAsia="Times New Roman"/>
          <w:b/>
          <w:i w:val="0"/>
          <w:sz w:val="26"/>
        </w:rPr>
        <w:t>Questions de recherche</w:t>
      </w:r>
    </w:p>
    <w:p>
      <w:pPr>
        <w:spacing w:line="360" w:lineRule="auto" w:after="160" w:before="0"/>
        <w:ind w:firstLine="0"/>
        <w:jc w:val="both"/>
      </w:pPr>
      <w:r>
        <w:rPr>
          <w:rFonts w:ascii="Times New Roman" w:hAnsi="Times New Roman" w:eastAsia="Times New Roman"/>
          <w:b w:val="0"/>
          <w:i w:val="0"/>
          <w:sz w:val="24"/>
        </w:rPr>
        <w:t>Question générale : dans quelle mesure la dématérialisation du processus de déclaration et de traitement des événements occasionnels peut-elle améliorer l'efficacité administrative du BBDA et la traçabilité des paiements ?</w:t>
      </w:r>
    </w:p>
    <w:p>
      <w:pPr>
        <w:spacing w:line="360" w:lineRule="auto" w:after="160" w:before="0"/>
        <w:ind w:firstLine="0"/>
        <w:jc w:val="both"/>
      </w:pPr>
      <w:r>
        <w:rPr>
          <w:rFonts w:ascii="Times New Roman" w:hAnsi="Times New Roman" w:eastAsia="Times New Roman"/>
          <w:b w:val="0"/>
          <w:i w:val="0"/>
          <w:sz w:val="24"/>
        </w:rPr>
        <w:t>Questions spécifiques :</w:t>
      </w:r>
    </w:p>
    <w:p>
      <w:pPr>
        <w:spacing w:line="360" w:lineRule="auto" w:after="160" w:before="0"/>
        <w:ind w:firstLine="0"/>
        <w:jc w:val="both"/>
      </w:pPr>
      <w:r>
        <w:rPr>
          <w:rFonts w:ascii="Times New Roman" w:hAnsi="Times New Roman" w:eastAsia="Times New Roman"/>
          <w:b w:val="0"/>
          <w:i w:val="0"/>
          <w:sz w:val="24"/>
        </w:rPr>
        <w:t>1. Quelles sont les étapes et les règles de gestion exactes du processus actuel de déclaration, d'évaluation et de paiement au BBDA ?</w:t>
      </w:r>
    </w:p>
    <w:p>
      <w:pPr>
        <w:spacing w:line="360" w:lineRule="auto" w:after="160" w:before="0"/>
        <w:ind w:firstLine="0"/>
        <w:jc w:val="both"/>
      </w:pPr>
      <w:r>
        <w:rPr>
          <w:rFonts w:ascii="Times New Roman" w:hAnsi="Times New Roman" w:eastAsia="Times New Roman"/>
          <w:b w:val="0"/>
          <w:i w:val="0"/>
          <w:sz w:val="24"/>
        </w:rPr>
        <w:t>2. Quelle architecture logicielle et quel modèle de données permettent de couvrir fidèlement ce processus tout en restant évolutifs ?</w:t>
      </w:r>
    </w:p>
    <w:p>
      <w:pPr>
        <w:spacing w:line="360" w:lineRule="auto" w:after="160" w:before="0"/>
        <w:ind w:firstLine="0"/>
        <w:jc w:val="both"/>
      </w:pPr>
      <w:r>
        <w:rPr>
          <w:rFonts w:ascii="Times New Roman" w:hAnsi="Times New Roman" w:eastAsia="Times New Roman"/>
          <w:b w:val="0"/>
          <w:i w:val="0"/>
          <w:sz w:val="24"/>
        </w:rPr>
        <w:t>3. Une plateforme web permet-elle de réduire les délais de traitement et de sécuriser le recouvrement des redevances, notamment via un mécanisme de suivi des arriérés et de notifications automatiques ?</w:t>
      </w:r>
    </w:p>
    <w:p>
      <w:pPr>
        <w:pStyle w:val="Heading2"/>
        <w:spacing w:line="360" w:lineRule="auto" w:before="240" w:after="200"/>
        <w:ind w:firstLine="0"/>
        <w:jc w:val="left"/>
      </w:pPr>
      <w:r>
        <w:rPr>
          <w:rFonts w:ascii="Times New Roman" w:hAnsi="Times New Roman" w:eastAsia="Times New Roman"/>
          <w:b/>
          <w:i w:val="0"/>
          <w:sz w:val="26"/>
        </w:rPr>
        <w:t>Énoncé des objectifs de recherche</w:t>
      </w:r>
    </w:p>
    <w:p>
      <w:pPr>
        <w:spacing w:line="360" w:lineRule="auto" w:after="160" w:before="0"/>
        <w:ind w:firstLine="709"/>
        <w:jc w:val="both"/>
      </w:pPr>
      <w:r>
        <w:rPr>
          <w:rFonts w:ascii="Times New Roman" w:hAnsi="Times New Roman" w:eastAsia="Times New Roman"/>
          <w:b w:val="0"/>
          <w:i w:val="0"/>
          <w:sz w:val="24"/>
        </w:rPr>
        <w:t>Objectif général. Concevoir et développer une plateforme web de gestion et de suivi des déclarations d'événements culturels occasionnels au BBDA, couvrant l'ensemble du processus depuis la déclaration de l'organisateur jusqu'à la délivrance de la quittance, en intégrant le suivi des paiements, la gestion des arriérés et un système de notifications automatiques.</w:t>
      </w:r>
    </w:p>
    <w:p>
      <w:pPr>
        <w:spacing w:line="360" w:lineRule="auto" w:after="160" w:before="0"/>
        <w:ind w:firstLine="0"/>
        <w:jc w:val="both"/>
      </w:pPr>
      <w:r>
        <w:rPr>
          <w:rFonts w:ascii="Times New Roman" w:hAnsi="Times New Roman" w:eastAsia="Times New Roman"/>
          <w:b w:val="0"/>
          <w:i w:val="0"/>
          <w:sz w:val="24"/>
        </w:rPr>
        <w:t>Objectifs spécifiques :</w:t>
      </w:r>
    </w:p>
    <w:p>
      <w:pPr>
        <w:spacing w:line="360" w:lineRule="auto" w:after="80" w:before="0"/>
        <w:ind w:firstLine="0"/>
        <w:jc w:val="both"/>
      </w:pPr>
      <w:r>
        <w:rPr>
          <w:rFonts w:ascii="Times New Roman" w:hAnsi="Times New Roman" w:eastAsia="Times New Roman"/>
          <w:b w:val="0"/>
          <w:i w:val="0"/>
          <w:sz w:val="24"/>
        </w:rPr>
        <w:t>1. Analyser le processus actuel de déclaration, d'évaluation et de paiement des redevances au BBDA.</w:t>
      </w:r>
    </w:p>
    <w:p>
      <w:pPr>
        <w:spacing w:line="360" w:lineRule="auto" w:after="80" w:before="0"/>
        <w:ind w:firstLine="0"/>
        <w:jc w:val="both"/>
      </w:pPr>
      <w:r>
        <w:rPr>
          <w:rFonts w:ascii="Times New Roman" w:hAnsi="Times New Roman" w:eastAsia="Times New Roman"/>
          <w:b w:val="0"/>
          <w:i w:val="0"/>
          <w:sz w:val="24"/>
        </w:rPr>
        <w:t>2. Identifier les besoins fonctionnels et techniques des agents de la DEPAJ et des organisateurs.</w:t>
      </w:r>
    </w:p>
    <w:p>
      <w:pPr>
        <w:spacing w:line="360" w:lineRule="auto" w:after="80" w:before="0"/>
        <w:ind w:firstLine="0"/>
        <w:jc w:val="both"/>
      </w:pPr>
      <w:r>
        <w:rPr>
          <w:rFonts w:ascii="Times New Roman" w:hAnsi="Times New Roman" w:eastAsia="Times New Roman"/>
          <w:b w:val="0"/>
          <w:i w:val="0"/>
          <w:sz w:val="24"/>
        </w:rPr>
        <w:t>3. Concevoir l'architecture fonctionnelle et technique (modèle de données, règles métier, architecture logicielle).</w:t>
      </w:r>
    </w:p>
    <w:p>
      <w:pPr>
        <w:spacing w:line="360" w:lineRule="auto" w:after="80" w:before="0"/>
        <w:ind w:firstLine="0"/>
        <w:jc w:val="both"/>
      </w:pPr>
      <w:r>
        <w:rPr>
          <w:rFonts w:ascii="Times New Roman" w:hAnsi="Times New Roman" w:eastAsia="Times New Roman"/>
          <w:b w:val="0"/>
          <w:i w:val="0"/>
          <w:sz w:val="24"/>
        </w:rPr>
        <w:t>4. Développer un module de déclaration en ligne pour les organisateurs.</w:t>
      </w:r>
    </w:p>
    <w:p>
      <w:pPr>
        <w:spacing w:line="360" w:lineRule="auto" w:after="80" w:before="0"/>
        <w:ind w:firstLine="0"/>
        <w:jc w:val="both"/>
      </w:pPr>
      <w:r>
        <w:rPr>
          <w:rFonts w:ascii="Times New Roman" w:hAnsi="Times New Roman" w:eastAsia="Times New Roman"/>
          <w:b w:val="0"/>
          <w:i w:val="0"/>
          <w:sz w:val="24"/>
        </w:rPr>
        <w:t>5. Développer un espace agent permettant l'évaluation manuelle du montant dû et le suivi des paiements.</w:t>
      </w:r>
    </w:p>
    <w:p>
      <w:pPr>
        <w:spacing w:line="360" w:lineRule="auto" w:after="80" w:before="0"/>
        <w:ind w:firstLine="0"/>
        <w:jc w:val="both"/>
      </w:pPr>
      <w:r>
        <w:rPr>
          <w:rFonts w:ascii="Times New Roman" w:hAnsi="Times New Roman" w:eastAsia="Times New Roman"/>
          <w:b w:val="0"/>
          <w:i w:val="0"/>
          <w:sz w:val="24"/>
        </w:rPr>
        <w:t>6. Développer un système de notifications automatiques par courrier électronique.</w:t>
      </w:r>
    </w:p>
    <w:p>
      <w:pPr>
        <w:spacing w:line="360" w:lineRule="auto" w:after="80" w:before="0"/>
        <w:ind w:firstLine="0"/>
        <w:jc w:val="both"/>
      </w:pPr>
      <w:r>
        <w:rPr>
          <w:rFonts w:ascii="Times New Roman" w:hAnsi="Times New Roman" w:eastAsia="Times New Roman"/>
          <w:b w:val="0"/>
          <w:i w:val="0"/>
          <w:sz w:val="24"/>
        </w:rPr>
        <w:t>7. Développer un module de gestion des arriérés (alertes, surveillance, blocage).</w:t>
      </w:r>
    </w:p>
    <w:p>
      <w:pPr>
        <w:spacing w:line="360" w:lineRule="auto" w:after="80" w:before="0"/>
        <w:ind w:firstLine="0"/>
        <w:jc w:val="both"/>
      </w:pPr>
      <w:r>
        <w:rPr>
          <w:rFonts w:ascii="Times New Roman" w:hAnsi="Times New Roman" w:eastAsia="Times New Roman"/>
          <w:b w:val="0"/>
          <w:i w:val="0"/>
          <w:sz w:val="24"/>
        </w:rPr>
        <w:t>8. Développer un module de génération automatique de la quittance au format PDF.</w:t>
      </w:r>
    </w:p>
    <w:p>
      <w:pPr>
        <w:spacing w:line="360" w:lineRule="auto" w:after="80" w:before="0"/>
        <w:ind w:firstLine="0"/>
        <w:jc w:val="both"/>
      </w:pPr>
      <w:r>
        <w:rPr>
          <w:rFonts w:ascii="Times New Roman" w:hAnsi="Times New Roman" w:eastAsia="Times New Roman"/>
          <w:b w:val="0"/>
          <w:i w:val="0"/>
          <w:sz w:val="24"/>
        </w:rPr>
        <w:t>9. Tester, valider et documenter l'ensemble de la plateforme développée.</w:t>
      </w:r>
    </w:p>
    <w:p>
      <w:pPr>
        <w:pStyle w:val="Heading2"/>
        <w:spacing w:line="360" w:lineRule="auto" w:before="240" w:after="200"/>
        <w:ind w:firstLine="0"/>
        <w:jc w:val="left"/>
      </w:pPr>
      <w:r>
        <w:rPr>
          <w:rFonts w:ascii="Times New Roman" w:hAnsi="Times New Roman" w:eastAsia="Times New Roman"/>
          <w:b/>
          <w:i w:val="0"/>
          <w:sz w:val="26"/>
        </w:rPr>
        <w:t>Formulation des hypothèses</w:t>
      </w:r>
    </w:p>
    <w:p>
      <w:pPr>
        <w:spacing w:line="360" w:lineRule="auto" w:after="160" w:before="0"/>
        <w:ind w:firstLine="709"/>
        <w:jc w:val="both"/>
      </w:pPr>
      <w:r>
        <w:rPr>
          <w:rFonts w:ascii="Times New Roman" w:hAnsi="Times New Roman" w:eastAsia="Times New Roman"/>
          <w:b w:val="0"/>
          <w:i w:val="0"/>
          <w:sz w:val="24"/>
        </w:rPr>
        <w:t>H1. La dématérialisation du processus de déclaration — fondée sur une déclaration de l'organisateur plutôt que sur une demande d'autorisation préalable du type utilisateurs permanents — permet de réduire significativement les délais de traitement et la charge administrative des agents, tout en améliorant la traçabilité des déclarations et des paiements.</w:t>
      </w:r>
    </w:p>
    <w:p>
      <w:pPr>
        <w:spacing w:line="360" w:lineRule="auto" w:after="160" w:before="0"/>
        <w:ind w:firstLine="709"/>
        <w:jc w:val="both"/>
      </w:pPr>
      <w:r>
        <w:rPr>
          <w:rFonts w:ascii="Times New Roman" w:hAnsi="Times New Roman" w:eastAsia="Times New Roman"/>
          <w:b w:val="0"/>
          <w:i w:val="0"/>
          <w:sz w:val="24"/>
        </w:rPr>
        <w:t>H2. La mise en place d'un système centralisé de gestion des arriérés, assorti d'alertes automatiques et d'un mécanisme de blocage des comptes débiteurs, facilite le recouvrement des redevances impayées et réduit les pertes financières pour le BBDA.</w:t>
      </w:r>
    </w:p>
    <w:p>
      <w:pPr>
        <w:pStyle w:val="Heading2"/>
        <w:spacing w:line="360" w:lineRule="auto" w:before="240" w:after="200"/>
        <w:ind w:firstLine="0"/>
        <w:jc w:val="left"/>
      </w:pPr>
      <w:r>
        <w:rPr>
          <w:rFonts w:ascii="Times New Roman" w:hAnsi="Times New Roman" w:eastAsia="Times New Roman"/>
          <w:b/>
          <w:i w:val="0"/>
          <w:sz w:val="26"/>
        </w:rPr>
        <w:t>Annonce du plan</w:t>
      </w:r>
    </w:p>
    <w:p>
      <w:pPr>
        <w:spacing w:line="360" w:lineRule="auto" w:after="160" w:before="0"/>
        <w:ind w:firstLine="709"/>
        <w:jc w:val="both"/>
      </w:pPr>
      <w:r>
        <w:rPr>
          <w:rFonts w:ascii="Times New Roman" w:hAnsi="Times New Roman" w:eastAsia="Times New Roman"/>
          <w:b w:val="0"/>
          <w:i w:val="0"/>
          <w:sz w:val="24"/>
        </w:rPr>
        <w:t>Le présent mémoire s'articule en trois chapitres, conformément à la structure recommandée par le cours d'Initiation à la méthodologie de recherche de l'Université Aube Nouvelle (janvier 2026). Le premier chapitre constitue la synthèse bibliographique et l'étude de l'existant : définitions, revue de littérature, cadre juridique et état des lieux. Le deuxième chapitre présente le matériel et les méthodes : structure d'accueil, démarche, choix techniques et modélisation. Le troisième chapitre présente et analyse les résultats module par module, avant discussion critique et bilan du stage. Le mémoire se conclut par un bilan général, la confrontation des hypothèses aux résultats, les limites et les perspectives.</w:t>
      </w:r>
    </w:p>
    <w:p>
      <w:r>
        <w:br w:type="page"/>
      </w:r>
    </w:p>
    <w:p>
      <w:pPr>
        <w:pStyle w:val="Heading1"/>
        <w:spacing w:line="360" w:lineRule="auto" w:before="360" w:after="200"/>
        <w:ind w:firstLine="0"/>
        <w:jc w:val="left"/>
      </w:pPr>
      <w:r>
        <w:rPr>
          <w:rFonts w:ascii="Times New Roman" w:hAnsi="Times New Roman" w:eastAsia="Times New Roman"/>
          <w:b/>
          <w:i w:val="0"/>
          <w:sz w:val="28"/>
        </w:rPr>
        <w:t>CHAPITRE 1 — SYNTHÈSE BIBLIOGRAPHIQUE ET ÉTUDE DE L'EXISTANT</w:t>
      </w:r>
    </w:p>
    <w:p>
      <w:pPr>
        <w:pStyle w:val="Heading2"/>
        <w:spacing w:line="360" w:lineRule="auto" w:before="240" w:after="200"/>
        <w:ind w:firstLine="0"/>
        <w:jc w:val="left"/>
      </w:pPr>
      <w:r>
        <w:rPr>
          <w:rFonts w:ascii="Times New Roman" w:hAnsi="Times New Roman" w:eastAsia="Times New Roman"/>
          <w:b/>
          <w:i w:val="0"/>
          <w:sz w:val="26"/>
        </w:rPr>
        <w:t>1.1 Définitions des concepts clés</w:t>
      </w:r>
    </w:p>
    <w:p>
      <w:pPr>
        <w:spacing w:line="360" w:lineRule="auto" w:after="160" w:before="0"/>
        <w:ind w:firstLine="709"/>
        <w:jc w:val="both"/>
      </w:pPr>
      <w:r>
        <w:rPr>
          <w:rFonts w:ascii="Times New Roman" w:hAnsi="Times New Roman" w:eastAsia="Times New Roman"/>
          <w:b w:val="0"/>
          <w:i w:val="0"/>
          <w:sz w:val="24"/>
        </w:rPr>
        <w:t>Bureau Burkinabè du Droit d'Auteur (BBDA). Institution publique burkinabè chargée de la protection et de la gestion collective des droits d'auteur et des droits voisins ; elle perçoit, pour le compte des ayants droit, les redevances dues par les exploitants d'œuvres protégées.</w:t>
      </w:r>
    </w:p>
    <w:p>
      <w:pPr>
        <w:spacing w:line="360" w:lineRule="auto" w:after="160" w:before="0"/>
        <w:ind w:firstLine="709"/>
        <w:jc w:val="both"/>
      </w:pPr>
      <w:r>
        <w:rPr>
          <w:rFonts w:ascii="Times New Roman" w:hAnsi="Times New Roman" w:eastAsia="Times New Roman"/>
          <w:b w:val="0"/>
          <w:i w:val="0"/>
          <w:sz w:val="24"/>
        </w:rPr>
        <w:t>Direction de l'Exploitation, de la Perception et des Affaires Juridiques (DEPAJ). Direction du BBDA en charge, notamment, du traitement des déclarations d'événements culturels occasionnels.</w:t>
      </w:r>
    </w:p>
    <w:p>
      <w:pPr>
        <w:spacing w:line="360" w:lineRule="auto" w:after="160" w:before="0"/>
        <w:ind w:firstLine="709"/>
        <w:jc w:val="both"/>
      </w:pPr>
      <w:r>
        <w:rPr>
          <w:rFonts w:ascii="Times New Roman" w:hAnsi="Times New Roman" w:eastAsia="Times New Roman"/>
          <w:b w:val="0"/>
          <w:i w:val="0"/>
          <w:sz w:val="24"/>
        </w:rPr>
        <w:t>Séance / événement culturel occasionnel. Manifestation ponctuelle (concert, festival, spectacle, gala, foire, défilé…) donnant lieu à l'exploitation publique d'œuvres protégées, par opposition à l'exploitation permanente.</w:t>
      </w:r>
    </w:p>
    <w:p>
      <w:pPr>
        <w:spacing w:line="360" w:lineRule="auto" w:after="160" w:before="0"/>
        <w:ind w:firstLine="709"/>
        <w:jc w:val="both"/>
      </w:pPr>
      <w:r>
        <w:rPr>
          <w:rFonts w:ascii="Times New Roman" w:hAnsi="Times New Roman" w:eastAsia="Times New Roman"/>
          <w:b w:val="0"/>
          <w:i w:val="0"/>
          <w:sz w:val="24"/>
        </w:rPr>
        <w:t>Déclaration. Acte par lequel un organisateur signale au BBDA la tenue prochaine d'un événement occasionnel. Dans le cadrage du protocole de stage, ce processus se distingue de la demande d'autorisation préalable applicable aux utilisateurs permanents.</w:t>
      </w:r>
    </w:p>
    <w:p>
      <w:pPr>
        <w:spacing w:line="360" w:lineRule="auto" w:after="160" w:before="0"/>
        <w:ind w:firstLine="709"/>
        <w:jc w:val="both"/>
      </w:pPr>
      <w:r>
        <w:rPr>
          <w:rFonts w:ascii="Times New Roman" w:hAnsi="Times New Roman" w:eastAsia="Times New Roman"/>
          <w:b w:val="0"/>
          <w:i w:val="0"/>
          <w:sz w:val="24"/>
        </w:rPr>
        <w:t>Tarif et redevance. Le tarif est le montant de référence tiré du barème interne du BBDA selon le type d'événement ; la redevance est un montant complémentaire apprécié par l'agent selon le contexte (jauge, notoriété, prix des billets…). La somme des deux constitue le montant total dû.</w:t>
      </w:r>
    </w:p>
    <w:p>
      <w:pPr>
        <w:spacing w:line="360" w:lineRule="auto" w:after="160" w:before="0"/>
        <w:ind w:firstLine="709"/>
        <w:jc w:val="both"/>
      </w:pPr>
      <w:r>
        <w:rPr>
          <w:rFonts w:ascii="Times New Roman" w:hAnsi="Times New Roman" w:eastAsia="Times New Roman"/>
          <w:b w:val="0"/>
          <w:i w:val="0"/>
          <w:sz w:val="24"/>
        </w:rPr>
        <w:t>Quittance. Document attestant du paiement de la redevance ; historiquement remis en main propre sur papier, produit au format PDF par la plateforme.</w:t>
      </w:r>
    </w:p>
    <w:p>
      <w:pPr>
        <w:spacing w:line="360" w:lineRule="auto" w:after="160" w:before="0"/>
        <w:ind w:firstLine="709"/>
        <w:jc w:val="both"/>
      </w:pPr>
      <w:r>
        <w:rPr>
          <w:rFonts w:ascii="Times New Roman" w:hAnsi="Times New Roman" w:eastAsia="Times New Roman"/>
          <w:b w:val="0"/>
          <w:i w:val="0"/>
          <w:sz w:val="24"/>
        </w:rPr>
        <w:t>Arriéré. Partie de la redevance restée impayée après un paiement partiel, ou totalité en l'absence de paiement.</w:t>
      </w:r>
    </w:p>
    <w:p>
      <w:pPr>
        <w:spacing w:line="360" w:lineRule="auto" w:after="160" w:before="0"/>
        <w:ind w:firstLine="709"/>
        <w:jc w:val="both"/>
      </w:pPr>
      <w:r>
        <w:rPr>
          <w:rFonts w:ascii="Times New Roman" w:hAnsi="Times New Roman" w:eastAsia="Times New Roman"/>
          <w:b w:val="0"/>
          <w:i w:val="0"/>
          <w:sz w:val="24"/>
        </w:rPr>
        <w:t>Compte sous surveillance. Statut appliqué à un compte organisateur suspecté de fraude ou injoignable, destiné à déclencher une alerte à sa prochaine connexion.</w:t>
      </w:r>
    </w:p>
    <w:p>
      <w:pPr>
        <w:pStyle w:val="Heading2"/>
        <w:spacing w:line="360" w:lineRule="auto" w:before="240" w:after="200"/>
        <w:ind w:firstLine="0"/>
        <w:jc w:val="left"/>
      </w:pPr>
      <w:r>
        <w:rPr>
          <w:rFonts w:ascii="Times New Roman" w:hAnsi="Times New Roman" w:eastAsia="Times New Roman"/>
          <w:b/>
          <w:i w:val="0"/>
          <w:sz w:val="26"/>
        </w:rPr>
        <w:t>1.2 Approches théorique et empirique (revue de littérature)</w:t>
      </w:r>
    </w:p>
    <w:p>
      <w:pPr>
        <w:spacing w:line="360" w:lineRule="auto" w:after="160" w:before="0"/>
        <w:ind w:firstLine="709"/>
        <w:jc w:val="both"/>
      </w:pPr>
      <w:r>
        <w:rPr>
          <w:rFonts w:ascii="Times New Roman" w:hAnsi="Times New Roman" w:eastAsia="Times New Roman"/>
          <w:b w:val="0"/>
          <w:i w:val="0"/>
          <w:sz w:val="24"/>
        </w:rPr>
        <w:t>La revue de littérature mobilise trois champs : (i) la gestion collective du droit d'auteur et son cadre légal burkinabè ; (ii) la dématérialisation des procédures administratives et des systèmes d'information de gestion ; (iii) les expériences d'organismes de gestion collective (OGC) comparables en Afrique et en Europe. Les sources sont présentées par auteur / année (ou organisme / année) conformément au cours de méthodologie.</w:t>
      </w:r>
    </w:p>
    <w:p>
      <w:pPr>
        <w:spacing w:line="360" w:lineRule="auto" w:after="160" w:before="0"/>
        <w:ind w:firstLine="709"/>
        <w:jc w:val="both"/>
      </w:pPr>
      <w:r>
        <w:rPr>
          <w:rFonts w:ascii="Times New Roman" w:hAnsi="Times New Roman" w:eastAsia="Times New Roman"/>
          <w:b w:val="0"/>
          <w:i w:val="0"/>
          <w:sz w:val="24"/>
        </w:rPr>
        <w:t>Sur le plan juridique, la Loi n° 048-2019/AN du 12 novembre 2019 portant protection de la propriété littéraire et artistique (promulguée par le Décret n° 2019-1275/PRES du 23 décembre 2019) constitue le texte de référence au Burkina Faso ; elle abroge la Loi n° 032-99/AN du 22 décembre 1999 (WIPO Lex, 2019). Le titre relatif à la gestion collective confie à l'organisme professionnel de gestion collective (en pratique le BBDA) la mission de gérer les droits et de concéder licences et autorisations pour le compte des titulaires (art. 102 et 103, tels que présentés dans les analyses de la presse culturelle et dans le dossier WIPO Lex). L'Arrêté n° 01-053/MAC/SG/BBDA du 20 mars 2000 précise historiquement les règles de perception des redevances auprès des utilisateurs et organisateurs de spectacles (WIPO Lex, 2000). Un guide pratique BBDA / OMPI (éd. révisée 2011) accompagne les utilisateurs d'œuvres protégées.</w:t>
      </w:r>
    </w:p>
    <w:p>
      <w:pPr>
        <w:spacing w:line="360" w:lineRule="auto" w:after="160" w:before="0"/>
        <w:ind w:firstLine="709"/>
        <w:jc w:val="both"/>
      </w:pPr>
      <w:r>
        <w:rPr>
          <w:rFonts w:ascii="Times New Roman" w:hAnsi="Times New Roman" w:eastAsia="Times New Roman"/>
          <w:b w:val="0"/>
          <w:i w:val="0"/>
          <w:sz w:val="24"/>
        </w:rPr>
        <w:t>Sur le plan empirique local, Sawadogo (2020) décrit le processus de collecte des droits de la séance occasionnelle au BBDA (autorisation / déclaration préalable, redevance, relevé d'exploitation), en s'appuyant sur des propos du service compétent. Kulture Kibaré (2022) vulgarise le fonctionnement des séances occasionnelles auprès du public culturel. Les médias généralistes (Burkina24, 2022 ; Sidwaya, 2024-2025 ; Actualité.bf, 2025) documentent périodiquement les sessions de répartition de droits (centaines de millions FCFA redistribués à des milliers de bénéficiaires), illustrant l'enjeu économique de la collecte, dont une part est liée à la représentation directe / séances occasionnelles.</w:t>
      </w:r>
    </w:p>
    <w:p>
      <w:pPr>
        <w:spacing w:line="360" w:lineRule="auto" w:after="160" w:before="0"/>
        <w:ind w:firstLine="709"/>
        <w:jc w:val="both"/>
      </w:pPr>
      <w:r>
        <w:rPr>
          <w:rFonts w:ascii="Times New Roman" w:hAnsi="Times New Roman" w:eastAsia="Times New Roman"/>
          <w:b w:val="0"/>
          <w:i w:val="0"/>
          <w:sz w:val="24"/>
        </w:rPr>
        <w:t>Sur le plan comparatif, la SACEM (France) propose une autorisation et une déclaration d'événements largement dématérialisées (SACEM, s.d.). Au Sénégal, la SODAV distingue contrat de représentation générale et séance occasionnelle, avec autorisation préalable, paiement de redevance, quittance et programmes d'œuvres pour la répartition (SODAV, s.d.). En Afrique du Sud, SAMRO délivre des licences d'usage public de musique via un portail Music User (SAMRO, s.d.). Ces expériences convergent vers un schéma déclaration / licence → paiement → preuve (quittance) → documentation des œuvres, que BBDA Events transpose au contexte burkinabè pour le seul périmètre organisateur occasionnel.</w:t>
      </w:r>
    </w:p>
    <w:p>
      <w:pPr>
        <w:spacing w:line="360" w:lineRule="auto" w:after="160" w:before="0"/>
        <w:ind w:firstLine="709"/>
        <w:jc w:val="both"/>
      </w:pPr>
      <w:r>
        <w:rPr>
          <w:rFonts w:ascii="Times New Roman" w:hAnsi="Times New Roman" w:eastAsia="Times New Roman"/>
          <w:b w:val="0"/>
          <w:i w:val="0"/>
          <w:sz w:val="24"/>
        </w:rPr>
        <w:t>Évaluation critique. Les sources juridiques (WIPO Lex) offrent une base solide mais doivent être citées après vérification du PDF officiel. La presse culturelle burkinabè est précieuse pour décrire la pratique métier, mais n'équivaut pas à une étude académique peerrreviewed ; elle est utilisée ici comme matériau empirique complémentaire aux documents internes du stage (protocole, cahier des charges). Les comparaisons internationales éclairent l'état de l'art fonctionnel sans prétendre à une transposition juridique directe. [À APPROFONDIR : articles académiques CISAC / OMPI sur la gestion collective en Afrique — voir annexe « Points à compléter ».]</w:t>
      </w:r>
    </w:p>
    <w:p>
      <w:pPr>
        <w:pStyle w:val="Heading2"/>
        <w:spacing w:line="360" w:lineRule="auto" w:before="240" w:after="200"/>
        <w:ind w:firstLine="0"/>
        <w:jc w:val="left"/>
      </w:pPr>
      <w:r>
        <w:rPr>
          <w:rFonts w:ascii="Times New Roman" w:hAnsi="Times New Roman" w:eastAsia="Times New Roman"/>
          <w:b/>
          <w:i w:val="0"/>
          <w:sz w:val="26"/>
        </w:rPr>
        <w:t>1.3 Cadre juridique et institutionnel burkinabè</w:t>
      </w:r>
    </w:p>
    <w:p>
      <w:pPr>
        <w:spacing w:line="360" w:lineRule="auto" w:after="160" w:before="0"/>
        <w:ind w:firstLine="709"/>
        <w:jc w:val="both"/>
      </w:pPr>
      <w:r>
        <w:rPr>
          <w:rFonts w:ascii="Times New Roman" w:hAnsi="Times New Roman" w:eastAsia="Times New Roman"/>
          <w:b w:val="0"/>
          <w:i w:val="0"/>
          <w:sz w:val="24"/>
        </w:rPr>
        <w:t>Créé en 1985, le BBDA assure la gestion collective au plan national et gère également, via des accords de réciprocité, les intérêts d'organismes étrangers (BBDA, s.d.). La distinction utilisateurs permanents / utilisateurs occasionnels structure l'organisation des services et justifie des outils informatiques distincts. Le Tableau 1 résume cette distinction, telle que cadrée par le protocole de stage.</w:t>
      </w:r>
    </w:p>
    <w:p>
      <w:pPr>
        <w:spacing w:line="360" w:lineRule="auto" w:after="160" w:before="0"/>
        <w:ind w:firstLine="0"/>
        <w:jc w:val="center"/>
      </w:pPr>
      <w:r>
        <w:rPr>
          <w:rFonts w:ascii="Times New Roman" w:hAnsi="Times New Roman" w:eastAsia="Times New Roman"/>
          <w:b/>
          <w:i w:val="0"/>
          <w:sz w:val="22"/>
        </w:rPr>
        <w:t>Tableau 1 — Comparaison utilisateurs permanents / organisateurs occasionnels</w:t>
      </w:r>
    </w:p>
    <w:tbl>
      <w:tblPr>
        <w:tblStyle w:val="TableGrid"/>
        <w:tblW w:type="auto" w:w="0"/>
        <w:tblLook w:firstColumn="1" w:firstRow="1" w:lastColumn="0" w:lastRow="0" w:noHBand="0" w:noVBand="1" w:val="04A0"/>
      </w:tblPr>
      <w:tblGrid>
        <w:gridCol w:w="2929"/>
        <w:gridCol w:w="2929"/>
        <w:gridCol w:w="2929"/>
      </w:tblGrid>
      <w:tr>
        <w:tc>
          <w:tcPr>
            <w:tcW w:type="dxa" w:w="2929"/>
          </w:tcPr>
          <w:p>
            <w:pPr>
              <w:ind w:firstLine="0"/>
            </w:pPr>
            <w:r/>
            <w:r>
              <w:rPr>
                <w:rFonts w:ascii="Times New Roman" w:hAnsi="Times New Roman" w:eastAsia="Times New Roman"/>
                <w:b/>
                <w:i w:val="0"/>
                <w:sz w:val="22"/>
              </w:rPr>
              <w:t>Critère</w:t>
            </w:r>
          </w:p>
        </w:tc>
        <w:tc>
          <w:tcPr>
            <w:tcW w:type="dxa" w:w="2929"/>
          </w:tcPr>
          <w:p>
            <w:pPr>
              <w:ind w:firstLine="0"/>
            </w:pPr>
            <w:r/>
            <w:r>
              <w:rPr>
                <w:rFonts w:ascii="Times New Roman" w:hAnsi="Times New Roman" w:eastAsia="Times New Roman"/>
                <w:b/>
                <w:i w:val="0"/>
                <w:sz w:val="22"/>
              </w:rPr>
              <w:t>Utilisateurs permanents</w:t>
            </w:r>
          </w:p>
        </w:tc>
        <w:tc>
          <w:tcPr>
            <w:tcW w:type="dxa" w:w="2929"/>
          </w:tcPr>
          <w:p>
            <w:pPr>
              <w:ind w:firstLine="0"/>
            </w:pPr>
            <w:r/>
            <w:r>
              <w:rPr>
                <w:rFonts w:ascii="Times New Roman" w:hAnsi="Times New Roman" w:eastAsia="Times New Roman"/>
                <w:b/>
                <w:i w:val="0"/>
                <w:sz w:val="22"/>
              </w:rPr>
              <w:t>Organisateurs occasionnels (périmètre du stage)</w:t>
            </w:r>
          </w:p>
        </w:tc>
      </w:tr>
      <w:tr>
        <w:tc>
          <w:tcPr>
            <w:tcW w:type="dxa" w:w="2929"/>
          </w:tcPr>
          <w:p>
            <w:pPr>
              <w:spacing w:line="240" w:lineRule="auto"/>
              <w:ind w:firstLine="0"/>
            </w:pPr>
            <w:r/>
            <w:r>
              <w:rPr>
                <w:rFonts w:ascii="Times New Roman" w:hAnsi="Times New Roman" w:eastAsia="Times New Roman"/>
                <w:b w:val="0"/>
                <w:i w:val="0"/>
                <w:sz w:val="20"/>
              </w:rPr>
              <w:t>Processus</w:t>
            </w:r>
          </w:p>
        </w:tc>
        <w:tc>
          <w:tcPr>
            <w:tcW w:type="dxa" w:w="2929"/>
          </w:tcPr>
          <w:p>
            <w:pPr>
              <w:spacing w:line="240" w:lineRule="auto"/>
              <w:ind w:firstLine="0"/>
            </w:pPr>
            <w:r/>
            <w:r>
              <w:rPr>
                <w:rFonts w:ascii="Times New Roman" w:hAnsi="Times New Roman" w:eastAsia="Times New Roman"/>
                <w:b w:val="0"/>
                <w:i w:val="0"/>
                <w:sz w:val="20"/>
              </w:rPr>
              <w:t>Demande d'autorisation préalable</w:t>
            </w:r>
          </w:p>
        </w:tc>
        <w:tc>
          <w:tcPr>
            <w:tcW w:type="dxa" w:w="2929"/>
          </w:tcPr>
          <w:p>
            <w:pPr>
              <w:spacing w:line="240" w:lineRule="auto"/>
              <w:ind w:firstLine="0"/>
            </w:pPr>
            <w:r/>
            <w:r>
              <w:rPr>
                <w:rFonts w:ascii="Times New Roman" w:hAnsi="Times New Roman" w:eastAsia="Times New Roman"/>
                <w:b w:val="0"/>
                <w:i w:val="0"/>
                <w:sz w:val="20"/>
              </w:rPr>
              <w:t>Déclaration de l'événement</w:t>
            </w:r>
          </w:p>
        </w:tc>
      </w:tr>
      <w:tr>
        <w:tc>
          <w:tcPr>
            <w:tcW w:type="dxa" w:w="2929"/>
          </w:tcPr>
          <w:p>
            <w:pPr>
              <w:spacing w:line="240" w:lineRule="auto"/>
              <w:ind w:firstLine="0"/>
            </w:pPr>
            <w:r/>
            <w:r>
              <w:rPr>
                <w:rFonts w:ascii="Times New Roman" w:hAnsi="Times New Roman" w:eastAsia="Times New Roman"/>
                <w:b w:val="0"/>
                <w:i w:val="0"/>
                <w:sz w:val="20"/>
              </w:rPr>
              <w:t>Fréquence</w:t>
            </w:r>
          </w:p>
        </w:tc>
        <w:tc>
          <w:tcPr>
            <w:tcW w:type="dxa" w:w="2929"/>
          </w:tcPr>
          <w:p>
            <w:pPr>
              <w:spacing w:line="240" w:lineRule="auto"/>
              <w:ind w:firstLine="0"/>
            </w:pPr>
            <w:r/>
            <w:r>
              <w:rPr>
                <w:rFonts w:ascii="Times New Roman" w:hAnsi="Times New Roman" w:eastAsia="Times New Roman"/>
                <w:b w:val="0"/>
                <w:i w:val="0"/>
                <w:sz w:val="20"/>
              </w:rPr>
              <w:t>Exploitation continue</w:t>
            </w:r>
          </w:p>
        </w:tc>
        <w:tc>
          <w:tcPr>
            <w:tcW w:type="dxa" w:w="2929"/>
          </w:tcPr>
          <w:p>
            <w:pPr>
              <w:spacing w:line="240" w:lineRule="auto"/>
              <w:ind w:firstLine="0"/>
            </w:pPr>
            <w:r/>
            <w:r>
              <w:rPr>
                <w:rFonts w:ascii="Times New Roman" w:hAnsi="Times New Roman" w:eastAsia="Times New Roman"/>
                <w:b w:val="0"/>
                <w:i w:val="0"/>
                <w:sz w:val="20"/>
              </w:rPr>
              <w:t>Manifestation ponctuelle</w:t>
            </w:r>
          </w:p>
        </w:tc>
      </w:tr>
      <w:tr>
        <w:tc>
          <w:tcPr>
            <w:tcW w:type="dxa" w:w="2929"/>
          </w:tcPr>
          <w:p>
            <w:pPr>
              <w:spacing w:line="240" w:lineRule="auto"/>
              <w:ind w:firstLine="0"/>
            </w:pPr>
            <w:r/>
            <w:r>
              <w:rPr>
                <w:rFonts w:ascii="Times New Roman" w:hAnsi="Times New Roman" w:eastAsia="Times New Roman"/>
                <w:b w:val="0"/>
                <w:i w:val="0"/>
                <w:sz w:val="20"/>
              </w:rPr>
              <w:t>Outil existant avant le stage</w:t>
            </w:r>
          </w:p>
        </w:tc>
        <w:tc>
          <w:tcPr>
            <w:tcW w:type="dxa" w:w="2929"/>
          </w:tcPr>
          <w:p>
            <w:pPr>
              <w:spacing w:line="240" w:lineRule="auto"/>
              <w:ind w:firstLine="0"/>
            </w:pPr>
            <w:r/>
            <w:r>
              <w:rPr>
                <w:rFonts w:ascii="Times New Roman" w:hAnsi="Times New Roman" w:eastAsia="Times New Roman"/>
                <w:b w:val="0"/>
                <w:i w:val="0"/>
                <w:sz w:val="20"/>
              </w:rPr>
              <w:t>Application dédiée BBDA</w:t>
            </w:r>
          </w:p>
        </w:tc>
        <w:tc>
          <w:tcPr>
            <w:tcW w:type="dxa" w:w="2929"/>
          </w:tcPr>
          <w:p>
            <w:pPr>
              <w:spacing w:line="240" w:lineRule="auto"/>
              <w:ind w:firstLine="0"/>
            </w:pPr>
            <w:r/>
            <w:r>
              <w:rPr>
                <w:rFonts w:ascii="Times New Roman" w:hAnsi="Times New Roman" w:eastAsia="Times New Roman"/>
                <w:b w:val="0"/>
                <w:i w:val="0"/>
                <w:sz w:val="20"/>
              </w:rPr>
              <w:t>Aucun outil numérique (papier)</w:t>
            </w:r>
          </w:p>
        </w:tc>
      </w:tr>
      <w:tr>
        <w:tc>
          <w:tcPr>
            <w:tcW w:type="dxa" w:w="2929"/>
          </w:tcPr>
          <w:p>
            <w:pPr>
              <w:spacing w:line="240" w:lineRule="auto"/>
              <w:ind w:firstLine="0"/>
            </w:pPr>
            <w:r/>
            <w:r>
              <w:rPr>
                <w:rFonts w:ascii="Times New Roman" w:hAnsi="Times New Roman" w:eastAsia="Times New Roman"/>
                <w:b w:val="0"/>
                <w:i w:val="0"/>
                <w:sz w:val="20"/>
              </w:rPr>
              <w:t>Preuve de paiement</w:t>
            </w:r>
          </w:p>
        </w:tc>
        <w:tc>
          <w:tcPr>
            <w:tcW w:type="dxa" w:w="2929"/>
          </w:tcPr>
          <w:p>
            <w:pPr>
              <w:spacing w:line="240" w:lineRule="auto"/>
              <w:ind w:firstLine="0"/>
            </w:pPr>
            <w:r/>
            <w:r>
              <w:rPr>
                <w:rFonts w:ascii="Times New Roman" w:hAnsi="Times New Roman" w:eastAsia="Times New Roman"/>
                <w:b w:val="0"/>
                <w:i w:val="0"/>
                <w:sz w:val="20"/>
              </w:rPr>
              <w:t>Selon procédures internes</w:t>
            </w:r>
          </w:p>
        </w:tc>
        <w:tc>
          <w:tcPr>
            <w:tcW w:type="dxa" w:w="2929"/>
          </w:tcPr>
          <w:p>
            <w:pPr>
              <w:spacing w:line="240" w:lineRule="auto"/>
              <w:ind w:firstLine="0"/>
            </w:pPr>
            <w:r/>
            <w:r>
              <w:rPr>
                <w:rFonts w:ascii="Times New Roman" w:hAnsi="Times New Roman" w:eastAsia="Times New Roman"/>
                <w:b w:val="0"/>
                <w:i w:val="0"/>
                <w:sz w:val="20"/>
              </w:rPr>
              <w:t>Quittance</w:t>
            </w:r>
          </w:p>
        </w:tc>
      </w:tr>
    </w:tbl>
    <w:p/>
    <w:p>
      <w:pPr>
        <w:spacing w:line="360" w:lineRule="auto" w:after="160" w:before="0"/>
        <w:ind w:firstLine="709"/>
        <w:jc w:val="both"/>
      </w:pPr>
      <w:r>
        <w:rPr>
          <w:rFonts w:ascii="Times New Roman" w:hAnsi="Times New Roman" w:eastAsia="Times New Roman"/>
          <w:b w:val="0"/>
          <w:i w:val="0"/>
          <w:sz w:val="24"/>
        </w:rPr>
        <w:t>Précision méthodologique importante. La presse culturelle évoque souvent une « autorisation » à solliciter environ 72 heures avant une séance occasionnelle (Sawadogo, 2020). Le protocole de stage, validé comme cadrage académique du projet, insiste sur la distinction déclaration (occasionnels) versus autorisation préalable (permanents). Dans la plateforme BBDA Events, le vocabulaire métier retenu est celui de la déclaration, de l'évaluation et de la quittance, conformément au cahier des charges. [À VÉRIFIER AVEC LE MAÎTRE DE STAGE : formulation officielle exacte utilisée à la DEPAJ.]</w:t>
      </w:r>
    </w:p>
    <w:p>
      <w:pPr>
        <w:pStyle w:val="Heading2"/>
        <w:spacing w:line="360" w:lineRule="auto" w:before="240" w:after="200"/>
        <w:ind w:firstLine="0"/>
        <w:jc w:val="left"/>
      </w:pPr>
      <w:r>
        <w:rPr>
          <w:rFonts w:ascii="Times New Roman" w:hAnsi="Times New Roman" w:eastAsia="Times New Roman"/>
          <w:b/>
          <w:i w:val="0"/>
          <w:sz w:val="26"/>
        </w:rPr>
        <w:t>1.4 État des lieux au BBDA et expériences comparées</w:t>
      </w:r>
    </w:p>
    <w:p>
      <w:pPr>
        <w:spacing w:line="360" w:lineRule="auto" w:after="160" w:before="0"/>
        <w:ind w:firstLine="709"/>
        <w:jc w:val="both"/>
      </w:pPr>
      <w:r>
        <w:rPr>
          <w:rFonts w:ascii="Times New Roman" w:hAnsi="Times New Roman" w:eastAsia="Times New Roman"/>
          <w:b w:val="0"/>
          <w:i w:val="0"/>
          <w:sz w:val="24"/>
        </w:rPr>
        <w:t>L'analyse de l'existant s'appuie sur trois documents de cadrage : le protocole de stage (2025-2026), le cahier des charges V2 BBDA Events et le guide de développement séquencé en vingt étapes. Ces documents confirment l'absence d'outil numérique pour les séances occasionnelles et listent les modules attendus (déclaration, agent, notifications email, arriérés, quittance PDF, tests, mémoire). Des incohérences mineures entre documents (périmètre WhatsApp reporté faute d'API payante, calcul automatique de redevance écarté au profit d'une fixation manuelle RM-030) ont été arbitrées au profit des règles métier formalisées dans REGLES_METIER.md.</w:t>
      </w:r>
    </w:p>
    <w:p>
      <w:pPr>
        <w:spacing w:line="360" w:lineRule="auto" w:after="160" w:before="0"/>
        <w:ind w:firstLine="709"/>
        <w:jc w:val="both"/>
      </w:pPr>
      <w:r>
        <w:rPr>
          <w:rFonts w:ascii="Times New Roman" w:hAnsi="Times New Roman" w:eastAsia="Times New Roman"/>
          <w:b w:val="0"/>
          <w:i w:val="0"/>
          <w:sz w:val="24"/>
        </w:rPr>
        <w:t>En avril 2025, le BBDA a lancé une plateforme numérique d'adhésion et de déclaration d'œuvres ainsi que l'application mobile B-GEOLOC pour la collecte terrain (leFaso.net, 2025 ; Digital Magazine Burkina, 2025). BBDA Events ne duplique pas ces outils : il couvre le circuit organisateur → quittance, encore peu digitalisé, et s'inscrit dans la même trajectoire de modernisation.</w:t>
      </w:r>
    </w:p>
    <w:p>
      <w:r>
        <w:br w:type="page"/>
      </w:r>
    </w:p>
    <w:p>
      <w:pPr>
        <w:pStyle w:val="Heading1"/>
        <w:spacing w:line="360" w:lineRule="auto" w:before="360" w:after="200"/>
        <w:ind w:firstLine="0"/>
        <w:jc w:val="left"/>
      </w:pPr>
      <w:r>
        <w:rPr>
          <w:rFonts w:ascii="Times New Roman" w:hAnsi="Times New Roman" w:eastAsia="Times New Roman"/>
          <w:b/>
          <w:i w:val="0"/>
          <w:sz w:val="28"/>
        </w:rPr>
        <w:t>CHAPITRE 2 — MATÉRIEL ET MÉTHODES</w:t>
      </w:r>
    </w:p>
    <w:p>
      <w:pPr>
        <w:pStyle w:val="Heading2"/>
        <w:spacing w:line="360" w:lineRule="auto" w:before="240" w:after="200"/>
        <w:ind w:firstLine="0"/>
        <w:jc w:val="left"/>
      </w:pPr>
      <w:r>
        <w:rPr>
          <w:rFonts w:ascii="Times New Roman" w:hAnsi="Times New Roman" w:eastAsia="Times New Roman"/>
          <w:b/>
          <w:i w:val="0"/>
          <w:sz w:val="26"/>
        </w:rPr>
        <w:t>2.1 Présentation de la structure d'accueil et du cadre de l'étude</w:t>
      </w:r>
    </w:p>
    <w:p>
      <w:pPr>
        <w:spacing w:line="360" w:lineRule="auto" w:after="160" w:before="0"/>
        <w:ind w:firstLine="709"/>
        <w:jc w:val="both"/>
      </w:pPr>
      <w:r>
        <w:rPr>
          <w:rFonts w:ascii="Times New Roman" w:hAnsi="Times New Roman" w:eastAsia="Times New Roman"/>
          <w:b w:val="0"/>
          <w:i w:val="0"/>
          <w:sz w:val="24"/>
        </w:rPr>
        <w:t>Le stage d'une durée de trois mois (année académique 2025-2026) s'est déroulé au Bureau Burkinabè du Droit d'Auteur (BBDA), à Ouagadougou, au contact de la DEPAJ. [À COMPLÉTER : dates exactes de début et de fin de stage, nom du service d'affectation quotidien, organigramme simplifié fourni par le BBDA si disponible.]</w:t>
      </w:r>
    </w:p>
    <w:p>
      <w:pPr>
        <w:spacing w:line="360" w:lineRule="auto" w:after="160" w:before="0"/>
        <w:ind w:firstLine="709"/>
        <w:jc w:val="both"/>
      </w:pPr>
      <w:r>
        <w:rPr>
          <w:rFonts w:ascii="Times New Roman" w:hAnsi="Times New Roman" w:eastAsia="Times New Roman"/>
          <w:b w:val="0"/>
          <w:i w:val="0"/>
          <w:sz w:val="24"/>
        </w:rPr>
        <w:t>Le BBDA a pour missions principales la protection des droits, la perception des redevances et la répartition aux ayants droit. L'adresse institutionnelle couramment communiquée est : 01 BP 3926 Ouagadougou 01 — Tél. : 25 32 47 50 (reprise également sur les quittances générées).</w:t>
      </w:r>
    </w:p>
    <w:p>
      <w:pPr>
        <w:pStyle w:val="Heading2"/>
        <w:spacing w:line="360" w:lineRule="auto" w:before="240" w:after="200"/>
        <w:ind w:firstLine="0"/>
        <w:jc w:val="left"/>
      </w:pPr>
      <w:r>
        <w:rPr>
          <w:rFonts w:ascii="Times New Roman" w:hAnsi="Times New Roman" w:eastAsia="Times New Roman"/>
          <w:b/>
          <w:i w:val="0"/>
          <w:sz w:val="26"/>
        </w:rPr>
        <w:t>2.2 Démarche méthodologique</w:t>
      </w:r>
    </w:p>
    <w:p>
      <w:pPr>
        <w:spacing w:line="360" w:lineRule="auto" w:after="160" w:before="0"/>
        <w:ind w:firstLine="709"/>
        <w:jc w:val="both"/>
      </w:pPr>
      <w:r>
        <w:rPr>
          <w:rFonts w:ascii="Times New Roman" w:hAnsi="Times New Roman" w:eastAsia="Times New Roman"/>
          <w:b w:val="0"/>
          <w:i w:val="0"/>
          <w:sz w:val="24"/>
        </w:rPr>
        <w:t>La démarche retenue est de type mixte, à dominante qualitative et expérimentale (réalisation d'un artefact logiciel), conforme à une recherche appliquée en génie informatique :</w:t>
      </w:r>
    </w:p>
    <w:p>
      <w:pPr>
        <w:spacing w:line="360" w:lineRule="auto" w:after="160" w:before="0"/>
        <w:ind w:firstLine="0"/>
        <w:jc w:val="both"/>
      </w:pPr>
      <w:r>
        <w:rPr>
          <w:rFonts w:ascii="Times New Roman" w:hAnsi="Times New Roman" w:eastAsia="Times New Roman"/>
          <w:b w:val="0"/>
          <w:i w:val="0"/>
          <w:sz w:val="24"/>
        </w:rPr>
        <w:t>Phase 1 — Analyse. Observation du processus à la DEPAJ, entretiens avec les agents, collecte des fiches papier (déclaration, évaluation) et photographie d'une quittance physique de référence (dossier images/).</w:t>
      </w:r>
    </w:p>
    <w:p>
      <w:pPr>
        <w:spacing w:line="360" w:lineRule="auto" w:after="160" w:before="0"/>
        <w:ind w:firstLine="0"/>
        <w:jc w:val="both"/>
      </w:pPr>
      <w:r>
        <w:rPr>
          <w:rFonts w:ascii="Times New Roman" w:hAnsi="Times New Roman" w:eastAsia="Times New Roman"/>
          <w:b w:val="0"/>
          <w:i w:val="0"/>
          <w:sz w:val="24"/>
        </w:rPr>
        <w:t>Phase 2 — Conception. Modélisation UML (cas d'utilisation, classes, séquence, activité, déploiement), schéma relationnel, règles RM-XXX, architecture MVC Flask, spécification des rôles (organisateur, agent, administrateur).</w:t>
      </w:r>
    </w:p>
    <w:p>
      <w:pPr>
        <w:spacing w:line="360" w:lineRule="auto" w:after="160" w:before="0"/>
        <w:ind w:firstLine="0"/>
        <w:jc w:val="both"/>
      </w:pPr>
      <w:r>
        <w:rPr>
          <w:rFonts w:ascii="Times New Roman" w:hAnsi="Times New Roman" w:eastAsia="Times New Roman"/>
          <w:b w:val="0"/>
          <w:i w:val="0"/>
          <w:sz w:val="24"/>
        </w:rPr>
        <w:t>Phase 3 — Réalisation. Développement itératif en vingt « prompts » (guide de développement V2), avec tests automatisés à chaque étape.</w:t>
      </w:r>
    </w:p>
    <w:p>
      <w:pPr>
        <w:spacing w:line="360" w:lineRule="auto" w:after="160" w:before="0"/>
        <w:ind w:firstLine="0"/>
        <w:jc w:val="both"/>
      </w:pPr>
      <w:r>
        <w:rPr>
          <w:rFonts w:ascii="Times New Roman" w:hAnsi="Times New Roman" w:eastAsia="Times New Roman"/>
          <w:b w:val="0"/>
          <w:i w:val="0"/>
          <w:sz w:val="24"/>
        </w:rPr>
        <w:t>Phase 4 — Validation et documentation. Tests fonctionnels et d'intégration (pytest, Playwright), données de démonstration, scénario de soutenance, rédaction du mémoire.</w:t>
      </w:r>
    </w:p>
    <w:p>
      <w:pPr>
        <w:pStyle w:val="Heading2"/>
        <w:spacing w:line="360" w:lineRule="auto" w:before="240" w:after="200"/>
        <w:ind w:firstLine="0"/>
        <w:jc w:val="left"/>
      </w:pPr>
      <w:r>
        <w:rPr>
          <w:rFonts w:ascii="Times New Roman" w:hAnsi="Times New Roman" w:eastAsia="Times New Roman"/>
          <w:b/>
          <w:i w:val="0"/>
          <w:sz w:val="26"/>
        </w:rPr>
        <w:t>2.3 Conception UML</w:t>
      </w:r>
    </w:p>
    <w:p>
      <w:pPr>
        <w:spacing w:line="360" w:lineRule="auto" w:after="160" w:before="0"/>
        <w:ind w:firstLine="709"/>
        <w:jc w:val="both"/>
      </w:pPr>
      <w:r>
        <w:rPr>
          <w:rFonts w:ascii="Times New Roman" w:hAnsi="Times New Roman" w:eastAsia="Times New Roman"/>
          <w:b w:val="0"/>
          <w:i w:val="0"/>
          <w:sz w:val="24"/>
        </w:rPr>
        <w:t>Conformément au protocole de stage, la conception a été formalisée par un ensemble de diagrammes UML. Les sources Mermaid et les exports PNG sont conservés dans le dossier memoire/docs/diagrammes/ pour consultation et réédition. Les figures ci-dessous présentent les vues principales ; les diagrammes de séquence détaillés sont repris en annexe.</w:t>
      </w:r>
    </w:p>
    <w:p>
      <w:pPr>
        <w:spacing w:line="360" w:lineRule="auto" w:after="160" w:before="0"/>
        <w:ind w:firstLine="709"/>
        <w:jc w:val="both"/>
      </w:pPr>
      <w:r>
        <w:rPr>
          <w:rFonts w:ascii="Times New Roman" w:hAnsi="Times New Roman" w:eastAsia="Times New Roman"/>
          <w:b w:val="0"/>
          <w:i w:val="0"/>
          <w:sz w:val="24"/>
        </w:rPr>
        <w:t>Le diagramme de cas d'utilisation identifie les acteurs (organisateur, agent BBDA, administrateur, public) et les principales fonctionnalités du système.</w:t>
      </w:r>
    </w:p>
    <w:p>
      <w:pPr>
        <w:ind w:firstLine="0"/>
        <w:jc w:val="center"/>
      </w:pPr>
      <w:r>
        <w:drawing>
          <wp:inline xmlns:a="http://schemas.openxmlformats.org/drawingml/2006/main" xmlns:pic="http://schemas.openxmlformats.org/drawingml/2006/picture">
            <wp:extent cx="4860000" cy="902376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60000" cy="9023764"/>
                    </a:xfrm>
                    <a:prstGeom prst="rect"/>
                  </pic:spPr>
                </pic:pic>
              </a:graphicData>
            </a:graphic>
          </wp:inline>
        </w:drawing>
      </w:r>
    </w:p>
    <w:p>
      <w:pPr>
        <w:ind w:firstLine="0"/>
        <w:jc w:val="center"/>
      </w:pPr>
      <w:r>
        <w:rPr>
          <w:rFonts w:ascii="Times New Roman" w:hAnsi="Times New Roman" w:eastAsia="Times New Roman"/>
          <w:b w:val="0"/>
          <w:i/>
          <w:sz w:val="22"/>
        </w:rPr>
        <w:t>Figure 30 — Diagramme de cas d'utilisation de la plateforme BBDA Events</w:t>
      </w:r>
    </w:p>
    <w:p>
      <w:pPr>
        <w:spacing w:line="360" w:lineRule="auto" w:after="160" w:before="0"/>
        <w:ind w:firstLine="709"/>
        <w:jc w:val="both"/>
      </w:pPr>
      <w:r>
        <w:rPr>
          <w:rFonts w:ascii="Times New Roman" w:hAnsi="Times New Roman" w:eastAsia="Times New Roman"/>
          <w:b w:val="0"/>
          <w:i w:val="0"/>
          <w:sz w:val="24"/>
        </w:rPr>
        <w:t>Le diagramme de classes reprend les entités du modèle de données (utilisateur, organisateur, déclaration, évaluation, paiement, quittance, arriéré, etc.) et leurs cardinalités.</w:t>
      </w:r>
    </w:p>
    <w:p>
      <w:pPr>
        <w:ind w:firstLine="0"/>
        <w:jc w:val="center"/>
      </w:pPr>
      <w:r>
        <w:drawing>
          <wp:inline xmlns:a="http://schemas.openxmlformats.org/drawingml/2006/main" xmlns:pic="http://schemas.openxmlformats.org/drawingml/2006/picture">
            <wp:extent cx="4860000" cy="469618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860000" cy="4696180"/>
                    </a:xfrm>
                    <a:prstGeom prst="rect"/>
                  </pic:spPr>
                </pic:pic>
              </a:graphicData>
            </a:graphic>
          </wp:inline>
        </w:drawing>
      </w:r>
    </w:p>
    <w:p>
      <w:pPr>
        <w:ind w:firstLine="0"/>
        <w:jc w:val="center"/>
      </w:pPr>
      <w:r>
        <w:rPr>
          <w:rFonts w:ascii="Times New Roman" w:hAnsi="Times New Roman" w:eastAsia="Times New Roman"/>
          <w:b w:val="0"/>
          <w:i/>
          <w:sz w:val="22"/>
        </w:rPr>
        <w:t>Figure 31 — Diagramme de classes (extrait du modèle SQLAlchemy)</w:t>
      </w:r>
    </w:p>
    <w:p>
      <w:pPr>
        <w:spacing w:line="360" w:lineRule="auto" w:after="160" w:before="0"/>
        <w:ind w:firstLine="709"/>
        <w:jc w:val="both"/>
      </w:pPr>
      <w:r>
        <w:rPr>
          <w:rFonts w:ascii="Times New Roman" w:hAnsi="Times New Roman" w:eastAsia="Times New Roman"/>
          <w:b w:val="0"/>
          <w:i w:val="0"/>
          <w:sz w:val="24"/>
        </w:rPr>
        <w:t>Le diagramme d'activité décrit le circuit métier complet, de l'inscription à la délivrance de la quittance et à l'éventuelle publication publique.</w:t>
      </w:r>
    </w:p>
    <w:p>
      <w:pPr>
        <w:ind w:firstLine="0"/>
        <w:jc w:val="center"/>
      </w:pPr>
      <w:r>
        <w:drawing>
          <wp:inline xmlns:a="http://schemas.openxmlformats.org/drawingml/2006/main" xmlns:pic="http://schemas.openxmlformats.org/drawingml/2006/picture">
            <wp:extent cx="4500000" cy="1074438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00000" cy="10744382"/>
                    </a:xfrm>
                    <a:prstGeom prst="rect"/>
                  </pic:spPr>
                </pic:pic>
              </a:graphicData>
            </a:graphic>
          </wp:inline>
        </w:drawing>
      </w:r>
    </w:p>
    <w:p>
      <w:pPr>
        <w:ind w:firstLine="0"/>
        <w:jc w:val="center"/>
      </w:pPr>
      <w:r>
        <w:rPr>
          <w:rFonts w:ascii="Times New Roman" w:hAnsi="Times New Roman" w:eastAsia="Times New Roman"/>
          <w:b w:val="0"/>
          <w:i/>
          <w:sz w:val="22"/>
        </w:rPr>
        <w:t>Figure 32 — Diagramme d'activité — circuit déclaration → quittance</w:t>
      </w:r>
    </w:p>
    <w:p>
      <w:pPr>
        <w:spacing w:line="360" w:lineRule="auto" w:after="160" w:before="0"/>
        <w:ind w:firstLine="709"/>
        <w:jc w:val="both"/>
      </w:pPr>
      <w:r>
        <w:rPr>
          <w:rFonts w:ascii="Times New Roman" w:hAnsi="Times New Roman" w:eastAsia="Times New Roman"/>
          <w:b w:val="0"/>
          <w:i w:val="0"/>
          <w:sz w:val="24"/>
        </w:rPr>
        <w:t>Le diagramme de déploiement situe les composants : navigateur client, application Flask/Gunicorn sur Render, base PostgreSQL, service d'email SendGrid, et environnement de développement local (MySQL).</w:t>
      </w:r>
    </w:p>
    <w:p>
      <w:pPr>
        <w:ind w:firstLine="0"/>
        <w:jc w:val="center"/>
      </w:pPr>
      <w:r>
        <w:drawing>
          <wp:inline xmlns:a="http://schemas.openxmlformats.org/drawingml/2006/main" xmlns:pic="http://schemas.openxmlformats.org/drawingml/2006/picture">
            <wp:extent cx="4680000" cy="372033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680000" cy="3720337"/>
                    </a:xfrm>
                    <a:prstGeom prst="rect"/>
                  </pic:spPr>
                </pic:pic>
              </a:graphicData>
            </a:graphic>
          </wp:inline>
        </w:drawing>
      </w:r>
    </w:p>
    <w:p>
      <w:pPr>
        <w:ind w:firstLine="0"/>
        <w:jc w:val="center"/>
      </w:pPr>
      <w:r>
        <w:rPr>
          <w:rFonts w:ascii="Times New Roman" w:hAnsi="Times New Roman" w:eastAsia="Times New Roman"/>
          <w:b w:val="0"/>
          <w:i/>
          <w:sz w:val="22"/>
        </w:rPr>
        <w:t>Figure 33 — Diagramme de déploiement de BBDA Events</w:t>
      </w:r>
    </w:p>
    <w:p>
      <w:pPr>
        <w:pStyle w:val="Heading2"/>
        <w:spacing w:line="360" w:lineRule="auto" w:before="240" w:after="200"/>
        <w:ind w:firstLine="0"/>
        <w:jc w:val="left"/>
      </w:pPr>
      <w:r>
        <w:rPr>
          <w:rFonts w:ascii="Times New Roman" w:hAnsi="Times New Roman" w:eastAsia="Times New Roman"/>
          <w:b/>
          <w:i w:val="0"/>
          <w:sz w:val="26"/>
        </w:rPr>
        <w:t>2.4 Outils et choix techniques</w:t>
      </w:r>
    </w:p>
    <w:p>
      <w:pPr>
        <w:spacing w:line="360" w:lineRule="auto" w:after="160" w:before="0"/>
        <w:ind w:firstLine="0"/>
        <w:jc w:val="center"/>
      </w:pPr>
      <w:r>
        <w:rPr>
          <w:rFonts w:ascii="Times New Roman" w:hAnsi="Times New Roman" w:eastAsia="Times New Roman"/>
          <w:b/>
          <w:i w:val="0"/>
          <w:sz w:val="22"/>
        </w:rPr>
        <w:t>Tableau 2 — Stack technique retenue et justifications</w:t>
      </w:r>
    </w:p>
    <w:tbl>
      <w:tblPr>
        <w:tblStyle w:val="TableGrid"/>
        <w:tblW w:type="auto" w:w="0"/>
        <w:tblLook w:firstColumn="1" w:firstRow="1" w:lastColumn="0" w:lastRow="0" w:noHBand="0" w:noVBand="1" w:val="04A0"/>
      </w:tblPr>
      <w:tblGrid>
        <w:gridCol w:w="2929"/>
        <w:gridCol w:w="2929"/>
        <w:gridCol w:w="2929"/>
      </w:tblGrid>
      <w:tr>
        <w:tc>
          <w:tcPr>
            <w:tcW w:type="dxa" w:w="2929"/>
          </w:tcPr>
          <w:p>
            <w:pPr>
              <w:ind w:firstLine="0"/>
            </w:pPr>
            <w:r/>
            <w:r>
              <w:rPr>
                <w:rFonts w:ascii="Times New Roman" w:hAnsi="Times New Roman" w:eastAsia="Times New Roman"/>
                <w:b/>
                <w:i w:val="0"/>
                <w:sz w:val="22"/>
              </w:rPr>
              <w:t>Catégorie</w:t>
            </w:r>
          </w:p>
        </w:tc>
        <w:tc>
          <w:tcPr>
            <w:tcW w:type="dxa" w:w="2929"/>
          </w:tcPr>
          <w:p>
            <w:pPr>
              <w:ind w:firstLine="0"/>
            </w:pPr>
            <w:r/>
            <w:r>
              <w:rPr>
                <w:rFonts w:ascii="Times New Roman" w:hAnsi="Times New Roman" w:eastAsia="Times New Roman"/>
                <w:b/>
                <w:i w:val="0"/>
                <w:sz w:val="22"/>
              </w:rPr>
              <w:t>Choix</w:t>
            </w:r>
          </w:p>
        </w:tc>
        <w:tc>
          <w:tcPr>
            <w:tcW w:type="dxa" w:w="2929"/>
          </w:tcPr>
          <w:p>
            <w:pPr>
              <w:ind w:firstLine="0"/>
            </w:pPr>
            <w:r/>
            <w:r>
              <w:rPr>
                <w:rFonts w:ascii="Times New Roman" w:hAnsi="Times New Roman" w:eastAsia="Times New Roman"/>
                <w:b/>
                <w:i w:val="0"/>
                <w:sz w:val="22"/>
              </w:rPr>
              <w:t>Justification résumée</w:t>
            </w:r>
          </w:p>
        </w:tc>
      </w:tr>
      <w:tr>
        <w:tc>
          <w:tcPr>
            <w:tcW w:type="dxa" w:w="2929"/>
          </w:tcPr>
          <w:p>
            <w:pPr>
              <w:spacing w:line="240" w:lineRule="auto"/>
              <w:ind w:firstLine="0"/>
            </w:pPr>
            <w:r/>
            <w:r>
              <w:rPr>
                <w:rFonts w:ascii="Times New Roman" w:hAnsi="Times New Roman" w:eastAsia="Times New Roman"/>
                <w:b w:val="0"/>
                <w:i w:val="0"/>
                <w:sz w:val="20"/>
              </w:rPr>
              <w:t>Backend</w:t>
            </w:r>
          </w:p>
        </w:tc>
        <w:tc>
          <w:tcPr>
            <w:tcW w:type="dxa" w:w="2929"/>
          </w:tcPr>
          <w:p>
            <w:pPr>
              <w:spacing w:line="240" w:lineRule="auto"/>
              <w:ind w:firstLine="0"/>
            </w:pPr>
            <w:r/>
            <w:r>
              <w:rPr>
                <w:rFonts w:ascii="Times New Roman" w:hAnsi="Times New Roman" w:eastAsia="Times New Roman"/>
                <w:b w:val="0"/>
                <w:i w:val="0"/>
                <w:sz w:val="20"/>
              </w:rPr>
              <w:t>Python 3.13 + Flask</w:t>
            </w:r>
          </w:p>
        </w:tc>
        <w:tc>
          <w:tcPr>
            <w:tcW w:type="dxa" w:w="2929"/>
          </w:tcPr>
          <w:p>
            <w:pPr>
              <w:spacing w:line="240" w:lineRule="auto"/>
              <w:ind w:firstLine="0"/>
            </w:pPr>
            <w:r/>
            <w:r>
              <w:rPr>
                <w:rFonts w:ascii="Times New Roman" w:hAnsi="Times New Roman" w:eastAsia="Times New Roman"/>
                <w:b w:val="0"/>
                <w:i w:val="0"/>
                <w:sz w:val="20"/>
              </w:rPr>
              <w:t>Framework léger, MVC explicite, adapté à un périmètre solo</w:t>
            </w:r>
          </w:p>
        </w:tc>
      </w:tr>
      <w:tr>
        <w:tc>
          <w:tcPr>
            <w:tcW w:type="dxa" w:w="2929"/>
          </w:tcPr>
          <w:p>
            <w:pPr>
              <w:spacing w:line="240" w:lineRule="auto"/>
              <w:ind w:firstLine="0"/>
            </w:pPr>
            <w:r/>
            <w:r>
              <w:rPr>
                <w:rFonts w:ascii="Times New Roman" w:hAnsi="Times New Roman" w:eastAsia="Times New Roman"/>
                <w:b w:val="0"/>
                <w:i w:val="0"/>
                <w:sz w:val="20"/>
              </w:rPr>
              <w:t>Frontend</w:t>
            </w:r>
          </w:p>
        </w:tc>
        <w:tc>
          <w:tcPr>
            <w:tcW w:type="dxa" w:w="2929"/>
          </w:tcPr>
          <w:p>
            <w:pPr>
              <w:spacing w:line="240" w:lineRule="auto"/>
              <w:ind w:firstLine="0"/>
            </w:pPr>
            <w:r/>
            <w:r>
              <w:rPr>
                <w:rFonts w:ascii="Times New Roman" w:hAnsi="Times New Roman" w:eastAsia="Times New Roman"/>
                <w:b w:val="0"/>
                <w:i w:val="0"/>
                <w:sz w:val="20"/>
              </w:rPr>
              <w:t>HTML5, CSS3, JS vanilla</w:t>
            </w:r>
          </w:p>
        </w:tc>
        <w:tc>
          <w:tcPr>
            <w:tcW w:type="dxa" w:w="2929"/>
          </w:tcPr>
          <w:p>
            <w:pPr>
              <w:spacing w:line="240" w:lineRule="auto"/>
              <w:ind w:firstLine="0"/>
            </w:pPr>
            <w:r/>
            <w:r>
              <w:rPr>
                <w:rFonts w:ascii="Times New Roman" w:hAnsi="Times New Roman" w:eastAsia="Times New Roman"/>
                <w:b w:val="0"/>
                <w:i w:val="0"/>
                <w:sz w:val="20"/>
              </w:rPr>
              <w:t>Sans framework lourd, conforme au cahier des charges</w:t>
            </w:r>
          </w:p>
        </w:tc>
      </w:tr>
      <w:tr>
        <w:tc>
          <w:tcPr>
            <w:tcW w:type="dxa" w:w="2929"/>
          </w:tcPr>
          <w:p>
            <w:pPr>
              <w:spacing w:line="240" w:lineRule="auto"/>
              <w:ind w:firstLine="0"/>
            </w:pPr>
            <w:r/>
            <w:r>
              <w:rPr>
                <w:rFonts w:ascii="Times New Roman" w:hAnsi="Times New Roman" w:eastAsia="Times New Roman"/>
                <w:b w:val="0"/>
                <w:i w:val="0"/>
                <w:sz w:val="20"/>
              </w:rPr>
              <w:t>SGBD</w:t>
            </w:r>
          </w:p>
        </w:tc>
        <w:tc>
          <w:tcPr>
            <w:tcW w:type="dxa" w:w="2929"/>
          </w:tcPr>
          <w:p>
            <w:pPr>
              <w:spacing w:line="240" w:lineRule="auto"/>
              <w:ind w:firstLine="0"/>
            </w:pPr>
            <w:r/>
            <w:r>
              <w:rPr>
                <w:rFonts w:ascii="Times New Roman" w:hAnsi="Times New Roman" w:eastAsia="Times New Roman"/>
                <w:b w:val="0"/>
                <w:i w:val="0"/>
                <w:sz w:val="20"/>
              </w:rPr>
              <w:t>MySQL (dev) / PostgreSQL (prod Render)</w:t>
            </w:r>
          </w:p>
        </w:tc>
        <w:tc>
          <w:tcPr>
            <w:tcW w:type="dxa" w:w="2929"/>
          </w:tcPr>
          <w:p>
            <w:pPr>
              <w:spacing w:line="240" w:lineRule="auto"/>
              <w:ind w:firstLine="0"/>
            </w:pPr>
            <w:r/>
            <w:r>
              <w:rPr>
                <w:rFonts w:ascii="Times New Roman" w:hAnsi="Times New Roman" w:eastAsia="Times New Roman"/>
                <w:b w:val="0"/>
                <w:i w:val="0"/>
                <w:sz w:val="20"/>
              </w:rPr>
              <w:t>Modèle relationnel fort ; portabilité via SQLAlchemy</w:t>
            </w:r>
          </w:p>
        </w:tc>
      </w:tr>
      <w:tr>
        <w:tc>
          <w:tcPr>
            <w:tcW w:type="dxa" w:w="2929"/>
          </w:tcPr>
          <w:p>
            <w:pPr>
              <w:spacing w:line="240" w:lineRule="auto"/>
              <w:ind w:firstLine="0"/>
            </w:pPr>
            <w:r/>
            <w:r>
              <w:rPr>
                <w:rFonts w:ascii="Times New Roman" w:hAnsi="Times New Roman" w:eastAsia="Times New Roman"/>
                <w:b w:val="0"/>
                <w:i w:val="0"/>
                <w:sz w:val="20"/>
              </w:rPr>
              <w:t>ORM</w:t>
            </w:r>
          </w:p>
        </w:tc>
        <w:tc>
          <w:tcPr>
            <w:tcW w:type="dxa" w:w="2929"/>
          </w:tcPr>
          <w:p>
            <w:pPr>
              <w:spacing w:line="240" w:lineRule="auto"/>
              <w:ind w:firstLine="0"/>
            </w:pPr>
            <w:r/>
            <w:r>
              <w:rPr>
                <w:rFonts w:ascii="Times New Roman" w:hAnsi="Times New Roman" w:eastAsia="Times New Roman"/>
                <w:b w:val="0"/>
                <w:i w:val="0"/>
                <w:sz w:val="20"/>
              </w:rPr>
              <w:t>SQLAlchemy</w:t>
            </w:r>
          </w:p>
        </w:tc>
        <w:tc>
          <w:tcPr>
            <w:tcW w:type="dxa" w:w="2929"/>
          </w:tcPr>
          <w:p>
            <w:pPr>
              <w:spacing w:line="240" w:lineRule="auto"/>
              <w:ind w:firstLine="0"/>
            </w:pPr>
            <w:r/>
            <w:r>
              <w:rPr>
                <w:rFonts w:ascii="Times New Roman" w:hAnsi="Times New Roman" w:eastAsia="Times New Roman"/>
                <w:b w:val="0"/>
                <w:i w:val="0"/>
                <w:sz w:val="20"/>
              </w:rPr>
              <w:t>Sécurité des requêtes, évolution du schéma</w:t>
            </w:r>
          </w:p>
        </w:tc>
      </w:tr>
      <w:tr>
        <w:tc>
          <w:tcPr>
            <w:tcW w:type="dxa" w:w="2929"/>
          </w:tcPr>
          <w:p>
            <w:pPr>
              <w:spacing w:line="240" w:lineRule="auto"/>
              <w:ind w:firstLine="0"/>
            </w:pPr>
            <w:r/>
            <w:r>
              <w:rPr>
                <w:rFonts w:ascii="Times New Roman" w:hAnsi="Times New Roman" w:eastAsia="Times New Roman"/>
                <w:b w:val="0"/>
                <w:i w:val="0"/>
                <w:sz w:val="20"/>
              </w:rPr>
              <w:t>Auth</w:t>
            </w:r>
          </w:p>
        </w:tc>
        <w:tc>
          <w:tcPr>
            <w:tcW w:type="dxa" w:w="2929"/>
          </w:tcPr>
          <w:p>
            <w:pPr>
              <w:spacing w:line="240" w:lineRule="auto"/>
              <w:ind w:firstLine="0"/>
            </w:pPr>
            <w:r/>
            <w:r>
              <w:rPr>
                <w:rFonts w:ascii="Times New Roman" w:hAnsi="Times New Roman" w:eastAsia="Times New Roman"/>
                <w:b w:val="0"/>
                <w:i w:val="0"/>
                <w:sz w:val="20"/>
              </w:rPr>
              <w:t>Flask-Login + bcrypt</w:t>
            </w:r>
          </w:p>
        </w:tc>
        <w:tc>
          <w:tcPr>
            <w:tcW w:type="dxa" w:w="2929"/>
          </w:tcPr>
          <w:p>
            <w:pPr>
              <w:spacing w:line="240" w:lineRule="auto"/>
              <w:ind w:firstLine="0"/>
            </w:pPr>
            <w:r/>
            <w:r>
              <w:rPr>
                <w:rFonts w:ascii="Times New Roman" w:hAnsi="Times New Roman" w:eastAsia="Times New Roman"/>
                <w:b w:val="0"/>
                <w:i w:val="0"/>
                <w:sz w:val="20"/>
              </w:rPr>
              <w:t>Sessions et hachage standards</w:t>
            </w:r>
          </w:p>
        </w:tc>
      </w:tr>
      <w:tr>
        <w:tc>
          <w:tcPr>
            <w:tcW w:type="dxa" w:w="2929"/>
          </w:tcPr>
          <w:p>
            <w:pPr>
              <w:spacing w:line="240" w:lineRule="auto"/>
              <w:ind w:firstLine="0"/>
            </w:pPr>
            <w:r/>
            <w:r>
              <w:rPr>
                <w:rFonts w:ascii="Times New Roman" w:hAnsi="Times New Roman" w:eastAsia="Times New Roman"/>
                <w:b w:val="0"/>
                <w:i w:val="0"/>
                <w:sz w:val="20"/>
              </w:rPr>
              <w:t>PDF</w:t>
            </w:r>
          </w:p>
        </w:tc>
        <w:tc>
          <w:tcPr>
            <w:tcW w:type="dxa" w:w="2929"/>
          </w:tcPr>
          <w:p>
            <w:pPr>
              <w:spacing w:line="240" w:lineRule="auto"/>
              <w:ind w:firstLine="0"/>
            </w:pPr>
            <w:r/>
            <w:r>
              <w:rPr>
                <w:rFonts w:ascii="Times New Roman" w:hAnsi="Times New Roman" w:eastAsia="Times New Roman"/>
                <w:b w:val="0"/>
                <w:i w:val="0"/>
                <w:sz w:val="20"/>
              </w:rPr>
              <w:t>ReportLab</w:t>
            </w:r>
          </w:p>
        </w:tc>
        <w:tc>
          <w:tcPr>
            <w:tcW w:type="dxa" w:w="2929"/>
          </w:tcPr>
          <w:p>
            <w:pPr>
              <w:spacing w:line="240" w:lineRule="auto"/>
              <w:ind w:firstLine="0"/>
            </w:pPr>
            <w:r/>
            <w:r>
              <w:rPr>
                <w:rFonts w:ascii="Times New Roman" w:hAnsi="Times New Roman" w:eastAsia="Times New Roman"/>
                <w:b w:val="0"/>
                <w:i w:val="0"/>
                <w:sz w:val="20"/>
              </w:rPr>
              <w:t>Contrôle fin de la mise en page (quittance)</w:t>
            </w:r>
          </w:p>
        </w:tc>
      </w:tr>
      <w:tr>
        <w:tc>
          <w:tcPr>
            <w:tcW w:type="dxa" w:w="2929"/>
          </w:tcPr>
          <w:p>
            <w:pPr>
              <w:spacing w:line="240" w:lineRule="auto"/>
              <w:ind w:firstLine="0"/>
            </w:pPr>
            <w:r/>
            <w:r>
              <w:rPr>
                <w:rFonts w:ascii="Times New Roman" w:hAnsi="Times New Roman" w:eastAsia="Times New Roman"/>
                <w:b w:val="0"/>
                <w:i w:val="0"/>
                <w:sz w:val="20"/>
              </w:rPr>
              <w:t>Email</w:t>
            </w:r>
          </w:p>
        </w:tc>
        <w:tc>
          <w:tcPr>
            <w:tcW w:type="dxa" w:w="2929"/>
          </w:tcPr>
          <w:p>
            <w:pPr>
              <w:spacing w:line="240" w:lineRule="auto"/>
              <w:ind w:firstLine="0"/>
            </w:pPr>
            <w:r/>
            <w:r>
              <w:rPr>
                <w:rFonts w:ascii="Times New Roman" w:hAnsi="Times New Roman" w:eastAsia="Times New Roman"/>
                <w:b w:val="0"/>
                <w:i w:val="0"/>
                <w:sz w:val="20"/>
              </w:rPr>
              <w:t>Flask-Mail / SendGrid (prod)</w:t>
            </w:r>
          </w:p>
        </w:tc>
        <w:tc>
          <w:tcPr>
            <w:tcW w:type="dxa" w:w="2929"/>
          </w:tcPr>
          <w:p>
            <w:pPr>
              <w:spacing w:line="240" w:lineRule="auto"/>
              <w:ind w:firstLine="0"/>
            </w:pPr>
            <w:r/>
            <w:r>
              <w:rPr>
                <w:rFonts w:ascii="Times New Roman" w:hAnsi="Times New Roman" w:eastAsia="Times New Roman"/>
                <w:b w:val="0"/>
                <w:i w:val="0"/>
                <w:sz w:val="20"/>
              </w:rPr>
              <w:t>Notifications métier</w:t>
            </w:r>
          </w:p>
        </w:tc>
      </w:tr>
      <w:tr>
        <w:tc>
          <w:tcPr>
            <w:tcW w:type="dxa" w:w="2929"/>
          </w:tcPr>
          <w:p>
            <w:pPr>
              <w:spacing w:line="240" w:lineRule="auto"/>
              <w:ind w:firstLine="0"/>
            </w:pPr>
            <w:r/>
            <w:r>
              <w:rPr>
                <w:rFonts w:ascii="Times New Roman" w:hAnsi="Times New Roman" w:eastAsia="Times New Roman"/>
                <w:b w:val="0"/>
                <w:i w:val="0"/>
                <w:sz w:val="20"/>
              </w:rPr>
              <w:t>Tests</w:t>
            </w:r>
          </w:p>
        </w:tc>
        <w:tc>
          <w:tcPr>
            <w:tcW w:type="dxa" w:w="2929"/>
          </w:tcPr>
          <w:p>
            <w:pPr>
              <w:spacing w:line="240" w:lineRule="auto"/>
              <w:ind w:firstLine="0"/>
            </w:pPr>
            <w:r/>
            <w:r>
              <w:rPr>
                <w:rFonts w:ascii="Times New Roman" w:hAnsi="Times New Roman" w:eastAsia="Times New Roman"/>
                <w:b w:val="0"/>
                <w:i w:val="0"/>
                <w:sz w:val="20"/>
              </w:rPr>
              <w:t>pytest, Playwright</w:t>
            </w:r>
          </w:p>
        </w:tc>
        <w:tc>
          <w:tcPr>
            <w:tcW w:type="dxa" w:w="2929"/>
          </w:tcPr>
          <w:p>
            <w:pPr>
              <w:spacing w:line="240" w:lineRule="auto"/>
              <w:ind w:firstLine="0"/>
            </w:pPr>
            <w:r/>
            <w:r>
              <w:rPr>
                <w:rFonts w:ascii="Times New Roman" w:hAnsi="Times New Roman" w:eastAsia="Times New Roman"/>
                <w:b w:val="0"/>
                <w:i w:val="0"/>
                <w:sz w:val="20"/>
              </w:rPr>
              <w:t>Non-régression et parcours bout-en-bout</w:t>
            </w:r>
          </w:p>
        </w:tc>
      </w:tr>
      <w:tr>
        <w:tc>
          <w:tcPr>
            <w:tcW w:type="dxa" w:w="2929"/>
          </w:tcPr>
          <w:p>
            <w:pPr>
              <w:spacing w:line="240" w:lineRule="auto"/>
              <w:ind w:firstLine="0"/>
            </w:pPr>
            <w:r/>
            <w:r>
              <w:rPr>
                <w:rFonts w:ascii="Times New Roman" w:hAnsi="Times New Roman" w:eastAsia="Times New Roman"/>
                <w:b w:val="0"/>
                <w:i w:val="0"/>
                <w:sz w:val="20"/>
              </w:rPr>
              <w:t>Hébergement</w:t>
            </w:r>
          </w:p>
        </w:tc>
        <w:tc>
          <w:tcPr>
            <w:tcW w:type="dxa" w:w="2929"/>
          </w:tcPr>
          <w:p>
            <w:pPr>
              <w:spacing w:line="240" w:lineRule="auto"/>
              <w:ind w:firstLine="0"/>
            </w:pPr>
            <w:r/>
            <w:r>
              <w:rPr>
                <w:rFonts w:ascii="Times New Roman" w:hAnsi="Times New Roman" w:eastAsia="Times New Roman"/>
                <w:b w:val="0"/>
                <w:i w:val="0"/>
                <w:sz w:val="20"/>
              </w:rPr>
              <w:t>Render.com</w:t>
            </w:r>
          </w:p>
        </w:tc>
        <w:tc>
          <w:tcPr>
            <w:tcW w:type="dxa" w:w="2929"/>
          </w:tcPr>
          <w:p>
            <w:pPr>
              <w:spacing w:line="240" w:lineRule="auto"/>
              <w:ind w:firstLine="0"/>
            </w:pPr>
            <w:r/>
            <w:r>
              <w:rPr>
                <w:rFonts w:ascii="Times New Roman" w:hAnsi="Times New Roman" w:eastAsia="Times New Roman"/>
                <w:b w:val="0"/>
                <w:i w:val="0"/>
                <w:sz w:val="20"/>
              </w:rPr>
              <w:t>Déploiement HTTPS public pour démonstration</w:t>
            </w:r>
          </w:p>
        </w:tc>
      </w:tr>
      <w:tr>
        <w:tc>
          <w:tcPr>
            <w:tcW w:type="dxa" w:w="2929"/>
          </w:tcPr>
          <w:p>
            <w:pPr>
              <w:spacing w:line="240" w:lineRule="auto"/>
              <w:ind w:firstLine="0"/>
            </w:pPr>
            <w:r/>
            <w:r>
              <w:rPr>
                <w:rFonts w:ascii="Times New Roman" w:hAnsi="Times New Roman" w:eastAsia="Times New Roman"/>
                <w:b w:val="0"/>
                <w:i w:val="0"/>
                <w:sz w:val="20"/>
              </w:rPr>
              <w:t>Versioning</w:t>
            </w:r>
          </w:p>
        </w:tc>
        <w:tc>
          <w:tcPr>
            <w:tcW w:type="dxa" w:w="2929"/>
          </w:tcPr>
          <w:p>
            <w:pPr>
              <w:spacing w:line="240" w:lineRule="auto"/>
              <w:ind w:firstLine="0"/>
            </w:pPr>
            <w:r/>
            <w:r>
              <w:rPr>
                <w:rFonts w:ascii="Times New Roman" w:hAnsi="Times New Roman" w:eastAsia="Times New Roman"/>
                <w:b w:val="0"/>
                <w:i w:val="0"/>
                <w:sz w:val="20"/>
              </w:rPr>
              <w:t>Git / GitHub</w:t>
            </w:r>
          </w:p>
        </w:tc>
        <w:tc>
          <w:tcPr>
            <w:tcW w:type="dxa" w:w="2929"/>
          </w:tcPr>
          <w:p>
            <w:pPr>
              <w:spacing w:line="240" w:lineRule="auto"/>
              <w:ind w:firstLine="0"/>
            </w:pPr>
            <w:r/>
            <w:r>
              <w:rPr>
                <w:rFonts w:ascii="Times New Roman" w:hAnsi="Times New Roman" w:eastAsia="Times New Roman"/>
                <w:b w:val="0"/>
                <w:i w:val="0"/>
                <w:sz w:val="20"/>
              </w:rPr>
              <w:t>Traçabilité des itérations</w:t>
            </w:r>
          </w:p>
        </w:tc>
      </w:tr>
    </w:tbl>
    <w:p/>
    <w:p>
      <w:pPr>
        <w:spacing w:line="360" w:lineRule="auto" w:after="160" w:before="0"/>
        <w:ind w:firstLine="709"/>
        <w:jc w:val="both"/>
      </w:pPr>
      <w:r>
        <w:rPr>
          <w:rFonts w:ascii="Times New Roman" w:hAnsi="Times New Roman" w:eastAsia="Times New Roman"/>
          <w:b w:val="0"/>
          <w:i w:val="0"/>
          <w:sz w:val="24"/>
        </w:rPr>
        <w:t>L'architecture suit le patron MVC avec factory pattern (create_app) et Blueprints par domaine : auth, declarations, agent, admin, public, exports, notifications, arrieres. La logique métier est isolée dans backend/ ; les templates et assets dans frontend/.</w:t>
      </w:r>
    </w:p>
    <w:p>
      <w:pPr>
        <w:pStyle w:val="Heading2"/>
        <w:spacing w:line="360" w:lineRule="auto" w:before="240" w:after="200"/>
        <w:ind w:firstLine="0"/>
        <w:jc w:val="left"/>
      </w:pPr>
      <w:r>
        <w:rPr>
          <w:rFonts w:ascii="Times New Roman" w:hAnsi="Times New Roman" w:eastAsia="Times New Roman"/>
          <w:b/>
          <w:i w:val="0"/>
          <w:sz w:val="26"/>
        </w:rPr>
        <w:t>2.5 Modélisation des données et règles de gestion</w:t>
      </w:r>
    </w:p>
    <w:p>
      <w:pPr>
        <w:spacing w:line="360" w:lineRule="auto" w:after="160" w:before="0"/>
        <w:ind w:firstLine="709"/>
        <w:jc w:val="both"/>
      </w:pPr>
      <w:r>
        <w:rPr>
          <w:rFonts w:ascii="Times New Roman" w:hAnsi="Times New Roman" w:eastAsia="Times New Roman"/>
          <w:b w:val="0"/>
          <w:i w:val="0"/>
          <w:sz w:val="24"/>
        </w:rPr>
        <w:t>Le schéma relationnel compte une douzaine de tables principales : utilisateur, organisateur, declaration, liste_artiste, evaluation_agent, paiement, quittance, arriere, notification, alerte_surveillance, message_contact, parametres_systeme. Chaque déclaration suit un cycle de statuts explicite.</w:t>
      </w:r>
    </w:p>
    <w:p>
      <w:pPr>
        <w:spacing w:line="360" w:lineRule="auto" w:after="160" w:before="0"/>
        <w:ind w:firstLine="0"/>
        <w:jc w:val="center"/>
      </w:pPr>
      <w:r>
        <w:rPr>
          <w:rFonts w:ascii="Times New Roman" w:hAnsi="Times New Roman" w:eastAsia="Times New Roman"/>
          <w:b/>
          <w:i w:val="0"/>
          <w:sz w:val="22"/>
        </w:rPr>
        <w:t>Tableau 4 — Cycle des statuts d'une déclaration</w:t>
      </w:r>
    </w:p>
    <w:tbl>
      <w:tblPr>
        <w:tblStyle w:val="TableGrid"/>
        <w:tblW w:type="auto" w:w="0"/>
        <w:tblLook w:firstColumn="1" w:firstRow="1" w:lastColumn="0" w:lastRow="0" w:noHBand="0" w:noVBand="1" w:val="04A0"/>
      </w:tblPr>
      <w:tblGrid>
        <w:gridCol w:w="4394"/>
        <w:gridCol w:w="4394"/>
      </w:tblGrid>
      <w:tr>
        <w:tc>
          <w:tcPr>
            <w:tcW w:type="dxa" w:w="4394"/>
          </w:tcPr>
          <w:p>
            <w:pPr>
              <w:ind w:firstLine="0"/>
            </w:pPr>
            <w:r/>
            <w:r>
              <w:rPr>
                <w:rFonts w:ascii="Times New Roman" w:hAnsi="Times New Roman" w:eastAsia="Times New Roman"/>
                <w:b/>
                <w:i w:val="0"/>
                <w:sz w:val="22"/>
              </w:rPr>
              <w:t>Statut</w:t>
            </w:r>
          </w:p>
        </w:tc>
        <w:tc>
          <w:tcPr>
            <w:tcW w:type="dxa" w:w="4394"/>
          </w:tcPr>
          <w:p>
            <w:pPr>
              <w:ind w:firstLine="0"/>
            </w:pPr>
            <w:r/>
            <w:r>
              <w:rPr>
                <w:rFonts w:ascii="Times New Roman" w:hAnsi="Times New Roman" w:eastAsia="Times New Roman"/>
                <w:b/>
                <w:i w:val="0"/>
                <w:sz w:val="22"/>
              </w:rPr>
              <w:t>Signification</w:t>
            </w:r>
          </w:p>
        </w:tc>
      </w:tr>
      <w:tr>
        <w:tc>
          <w:tcPr>
            <w:tcW w:type="dxa" w:w="4394"/>
          </w:tcPr>
          <w:p>
            <w:pPr>
              <w:spacing w:line="240" w:lineRule="auto"/>
              <w:ind w:firstLine="0"/>
            </w:pPr>
            <w:r/>
            <w:r>
              <w:rPr>
                <w:rFonts w:ascii="Times New Roman" w:hAnsi="Times New Roman" w:eastAsia="Times New Roman"/>
                <w:b w:val="0"/>
                <w:i w:val="0"/>
                <w:sz w:val="20"/>
              </w:rPr>
              <w:t>nouvelle</w:t>
            </w:r>
          </w:p>
        </w:tc>
        <w:tc>
          <w:tcPr>
            <w:tcW w:type="dxa" w:w="4394"/>
          </w:tcPr>
          <w:p>
            <w:pPr>
              <w:spacing w:line="240" w:lineRule="auto"/>
              <w:ind w:firstLine="0"/>
            </w:pPr>
            <w:r/>
            <w:r>
              <w:rPr>
                <w:rFonts w:ascii="Times New Roman" w:hAnsi="Times New Roman" w:eastAsia="Times New Roman"/>
                <w:b w:val="0"/>
                <w:i w:val="0"/>
                <w:sz w:val="20"/>
              </w:rPr>
              <w:t>Déclaration soumise, non encore prise en charge</w:t>
            </w:r>
          </w:p>
        </w:tc>
      </w:tr>
      <w:tr>
        <w:tc>
          <w:tcPr>
            <w:tcW w:type="dxa" w:w="4394"/>
          </w:tcPr>
          <w:p>
            <w:pPr>
              <w:spacing w:line="240" w:lineRule="auto"/>
              <w:ind w:firstLine="0"/>
            </w:pPr>
            <w:r/>
            <w:r>
              <w:rPr>
                <w:rFonts w:ascii="Times New Roman" w:hAnsi="Times New Roman" w:eastAsia="Times New Roman"/>
                <w:b w:val="0"/>
                <w:i w:val="0"/>
                <w:sz w:val="20"/>
              </w:rPr>
              <w:t>en_evaluation</w:t>
            </w:r>
          </w:p>
        </w:tc>
        <w:tc>
          <w:tcPr>
            <w:tcW w:type="dxa" w:w="4394"/>
          </w:tcPr>
          <w:p>
            <w:pPr>
              <w:spacing w:line="240" w:lineRule="auto"/>
              <w:ind w:firstLine="0"/>
            </w:pPr>
            <w:r/>
            <w:r>
              <w:rPr>
                <w:rFonts w:ascii="Times New Roman" w:hAnsi="Times New Roman" w:eastAsia="Times New Roman"/>
                <w:b w:val="0"/>
                <w:i w:val="0"/>
                <w:sz w:val="20"/>
              </w:rPr>
              <w:t>Ouverte par un agent</w:t>
            </w:r>
          </w:p>
        </w:tc>
      </w:tr>
      <w:tr>
        <w:tc>
          <w:tcPr>
            <w:tcW w:type="dxa" w:w="4394"/>
          </w:tcPr>
          <w:p>
            <w:pPr>
              <w:spacing w:line="240" w:lineRule="auto"/>
              <w:ind w:firstLine="0"/>
            </w:pPr>
            <w:r/>
            <w:r>
              <w:rPr>
                <w:rFonts w:ascii="Times New Roman" w:hAnsi="Times New Roman" w:eastAsia="Times New Roman"/>
                <w:b w:val="0"/>
                <w:i w:val="0"/>
                <w:sz w:val="20"/>
              </w:rPr>
              <w:t>en_attente</w:t>
            </w:r>
          </w:p>
        </w:tc>
        <w:tc>
          <w:tcPr>
            <w:tcW w:type="dxa" w:w="4394"/>
          </w:tcPr>
          <w:p>
            <w:pPr>
              <w:spacing w:line="240" w:lineRule="auto"/>
              <w:ind w:firstLine="0"/>
            </w:pPr>
            <w:r/>
            <w:r>
              <w:rPr>
                <w:rFonts w:ascii="Times New Roman" w:hAnsi="Times New Roman" w:eastAsia="Times New Roman"/>
                <w:b w:val="0"/>
                <w:i w:val="0"/>
                <w:sz w:val="20"/>
              </w:rPr>
              <w:t>Complément d'information demandé (commentaire obligatoire)</w:t>
            </w:r>
          </w:p>
        </w:tc>
      </w:tr>
      <w:tr>
        <w:tc>
          <w:tcPr>
            <w:tcW w:type="dxa" w:w="4394"/>
          </w:tcPr>
          <w:p>
            <w:pPr>
              <w:spacing w:line="240" w:lineRule="auto"/>
              <w:ind w:firstLine="0"/>
            </w:pPr>
            <w:r/>
            <w:r>
              <w:rPr>
                <w:rFonts w:ascii="Times New Roman" w:hAnsi="Times New Roman" w:eastAsia="Times New Roman"/>
                <w:b w:val="0"/>
                <w:i w:val="0"/>
                <w:sz w:val="20"/>
              </w:rPr>
              <w:t>montant_fixe</w:t>
            </w:r>
          </w:p>
        </w:tc>
        <w:tc>
          <w:tcPr>
            <w:tcW w:type="dxa" w:w="4394"/>
          </w:tcPr>
          <w:p>
            <w:pPr>
              <w:spacing w:line="240" w:lineRule="auto"/>
              <w:ind w:firstLine="0"/>
            </w:pPr>
            <w:r/>
            <w:r>
              <w:rPr>
                <w:rFonts w:ascii="Times New Roman" w:hAnsi="Times New Roman" w:eastAsia="Times New Roman"/>
                <w:b w:val="0"/>
                <w:i w:val="0"/>
                <w:sz w:val="20"/>
              </w:rPr>
              <w:t>Tarif et redevance validés</w:t>
            </w:r>
          </w:p>
        </w:tc>
      </w:tr>
      <w:tr>
        <w:tc>
          <w:tcPr>
            <w:tcW w:type="dxa" w:w="4394"/>
          </w:tcPr>
          <w:p>
            <w:pPr>
              <w:spacing w:line="240" w:lineRule="auto"/>
              <w:ind w:firstLine="0"/>
            </w:pPr>
            <w:r/>
            <w:r>
              <w:rPr>
                <w:rFonts w:ascii="Times New Roman" w:hAnsi="Times New Roman" w:eastAsia="Times New Roman"/>
                <w:b w:val="0"/>
                <w:i w:val="0"/>
                <w:sz w:val="20"/>
              </w:rPr>
              <w:t>paiement_en_attente</w:t>
            </w:r>
          </w:p>
        </w:tc>
        <w:tc>
          <w:tcPr>
            <w:tcW w:type="dxa" w:w="4394"/>
          </w:tcPr>
          <w:p>
            <w:pPr>
              <w:spacing w:line="240" w:lineRule="auto"/>
              <w:ind w:firstLine="0"/>
            </w:pPr>
            <w:r/>
            <w:r>
              <w:rPr>
                <w:rFonts w:ascii="Times New Roman" w:hAnsi="Times New Roman" w:eastAsia="Times New Roman"/>
                <w:b w:val="0"/>
                <w:i w:val="0"/>
                <w:sz w:val="20"/>
              </w:rPr>
              <w:t>En attente d'encaissement</w:t>
            </w:r>
          </w:p>
        </w:tc>
      </w:tr>
      <w:tr>
        <w:tc>
          <w:tcPr>
            <w:tcW w:type="dxa" w:w="4394"/>
          </w:tcPr>
          <w:p>
            <w:pPr>
              <w:spacing w:line="240" w:lineRule="auto"/>
              <w:ind w:firstLine="0"/>
            </w:pPr>
            <w:r/>
            <w:r>
              <w:rPr>
                <w:rFonts w:ascii="Times New Roman" w:hAnsi="Times New Roman" w:eastAsia="Times New Roman"/>
                <w:b w:val="0"/>
                <w:i w:val="0"/>
                <w:sz w:val="20"/>
              </w:rPr>
              <w:t>payee</w:t>
            </w:r>
          </w:p>
        </w:tc>
        <w:tc>
          <w:tcPr>
            <w:tcW w:type="dxa" w:w="4394"/>
          </w:tcPr>
          <w:p>
            <w:pPr>
              <w:spacing w:line="240" w:lineRule="auto"/>
              <w:ind w:firstLine="0"/>
            </w:pPr>
            <w:r/>
            <w:r>
              <w:rPr>
                <w:rFonts w:ascii="Times New Roman" w:hAnsi="Times New Roman" w:eastAsia="Times New Roman"/>
                <w:b w:val="0"/>
                <w:i w:val="0"/>
                <w:sz w:val="20"/>
              </w:rPr>
              <w:t>Solde à zéro après un ou plusieurs versements</w:t>
            </w:r>
          </w:p>
        </w:tc>
      </w:tr>
      <w:tr>
        <w:tc>
          <w:tcPr>
            <w:tcW w:type="dxa" w:w="4394"/>
          </w:tcPr>
          <w:p>
            <w:pPr>
              <w:spacing w:line="240" w:lineRule="auto"/>
              <w:ind w:firstLine="0"/>
            </w:pPr>
            <w:r/>
            <w:r>
              <w:rPr>
                <w:rFonts w:ascii="Times New Roman" w:hAnsi="Times New Roman" w:eastAsia="Times New Roman"/>
                <w:b w:val="0"/>
                <w:i w:val="0"/>
                <w:sz w:val="20"/>
              </w:rPr>
              <w:t>quittance_delivree</w:t>
            </w:r>
          </w:p>
        </w:tc>
        <w:tc>
          <w:tcPr>
            <w:tcW w:type="dxa" w:w="4394"/>
          </w:tcPr>
          <w:p>
            <w:pPr>
              <w:spacing w:line="240" w:lineRule="auto"/>
              <w:ind w:firstLine="0"/>
            </w:pPr>
            <w:r/>
            <w:r>
              <w:rPr>
                <w:rFonts w:ascii="Times New Roman" w:hAnsi="Times New Roman" w:eastAsia="Times New Roman"/>
                <w:b w:val="0"/>
                <w:i w:val="0"/>
                <w:sz w:val="20"/>
              </w:rPr>
              <w:t>PDF généré ; éventuelle publication si promotion</w:t>
            </w:r>
          </w:p>
        </w:tc>
      </w:tr>
    </w:tbl>
    <w:p/>
    <w:p>
      <w:pPr>
        <w:spacing w:line="360" w:lineRule="auto" w:after="160" w:before="0"/>
        <w:ind w:firstLine="0"/>
        <w:jc w:val="center"/>
      </w:pPr>
      <w:r>
        <w:rPr>
          <w:rFonts w:ascii="Times New Roman" w:hAnsi="Times New Roman" w:eastAsia="Times New Roman"/>
          <w:b/>
          <w:i w:val="0"/>
          <w:sz w:val="22"/>
        </w:rPr>
        <w:t>Tableau 3 — Principales règles métier (extrait)</w:t>
      </w:r>
    </w:p>
    <w:tbl>
      <w:tblPr>
        <w:tblStyle w:val="TableGrid"/>
        <w:tblW w:type="auto" w:w="0"/>
        <w:tblLook w:firstColumn="1" w:firstRow="1" w:lastColumn="0" w:lastRow="0" w:noHBand="0" w:noVBand="1" w:val="04A0"/>
      </w:tblPr>
      <w:tblGrid>
        <w:gridCol w:w="4394"/>
        <w:gridCol w:w="4394"/>
      </w:tblGrid>
      <w:tr>
        <w:tc>
          <w:tcPr>
            <w:tcW w:type="dxa" w:w="4394"/>
          </w:tcPr>
          <w:p>
            <w:pPr>
              <w:ind w:firstLine="0"/>
            </w:pPr>
            <w:r/>
            <w:r>
              <w:rPr>
                <w:rFonts w:ascii="Times New Roman" w:hAnsi="Times New Roman" w:eastAsia="Times New Roman"/>
                <w:b/>
                <w:i w:val="0"/>
                <w:sz w:val="22"/>
              </w:rPr>
              <w:t>Code</w:t>
            </w:r>
          </w:p>
        </w:tc>
        <w:tc>
          <w:tcPr>
            <w:tcW w:type="dxa" w:w="4394"/>
          </w:tcPr>
          <w:p>
            <w:pPr>
              <w:ind w:firstLine="0"/>
            </w:pPr>
            <w:r/>
            <w:r>
              <w:rPr>
                <w:rFonts w:ascii="Times New Roman" w:hAnsi="Times New Roman" w:eastAsia="Times New Roman"/>
                <w:b/>
                <w:i w:val="0"/>
                <w:sz w:val="22"/>
              </w:rPr>
              <w:t>Règle</w:t>
            </w:r>
          </w:p>
        </w:tc>
      </w:tr>
      <w:tr>
        <w:tc>
          <w:tcPr>
            <w:tcW w:type="dxa" w:w="4394"/>
          </w:tcPr>
          <w:p>
            <w:pPr>
              <w:spacing w:line="240" w:lineRule="auto"/>
              <w:ind w:firstLine="0"/>
            </w:pPr>
            <w:r/>
            <w:r>
              <w:rPr>
                <w:rFonts w:ascii="Times New Roman" w:hAnsi="Times New Roman" w:eastAsia="Times New Roman"/>
                <w:b w:val="0"/>
                <w:i w:val="0"/>
                <w:sz w:val="20"/>
              </w:rPr>
              <w:t>RM-010</w:t>
            </w:r>
          </w:p>
        </w:tc>
        <w:tc>
          <w:tcPr>
            <w:tcW w:type="dxa" w:w="4394"/>
          </w:tcPr>
          <w:p>
            <w:pPr>
              <w:spacing w:line="240" w:lineRule="auto"/>
              <w:ind w:firstLine="0"/>
            </w:pPr>
            <w:r/>
            <w:r>
              <w:rPr>
                <w:rFonts w:ascii="Times New Roman" w:hAnsi="Times New Roman" w:eastAsia="Times New Roman"/>
                <w:b w:val="0"/>
                <w:i w:val="0"/>
                <w:sz w:val="20"/>
              </w:rPr>
              <w:t>Arriéré ≥ seuil (1 000 FCFA par défaut) → pas de nouvelle déclaration</w:t>
            </w:r>
          </w:p>
        </w:tc>
      </w:tr>
      <w:tr>
        <w:tc>
          <w:tcPr>
            <w:tcW w:type="dxa" w:w="4394"/>
          </w:tcPr>
          <w:p>
            <w:pPr>
              <w:spacing w:line="240" w:lineRule="auto"/>
              <w:ind w:firstLine="0"/>
            </w:pPr>
            <w:r/>
            <w:r>
              <w:rPr>
                <w:rFonts w:ascii="Times New Roman" w:hAnsi="Times New Roman" w:eastAsia="Times New Roman"/>
                <w:b w:val="0"/>
                <w:i w:val="0"/>
                <w:sz w:val="20"/>
              </w:rPr>
              <w:t>RM-030</w:t>
            </w:r>
          </w:p>
        </w:tc>
        <w:tc>
          <w:tcPr>
            <w:tcW w:type="dxa" w:w="4394"/>
          </w:tcPr>
          <w:p>
            <w:pPr>
              <w:spacing w:line="240" w:lineRule="auto"/>
              <w:ind w:firstLine="0"/>
            </w:pPr>
            <w:r/>
            <w:r>
              <w:rPr>
                <w:rFonts w:ascii="Times New Roman" w:hAnsi="Times New Roman" w:eastAsia="Times New Roman"/>
                <w:b w:val="0"/>
                <w:i w:val="0"/>
                <w:sz w:val="20"/>
              </w:rPr>
              <w:t>Montant fixé manuellement par l'agent (pas de calcul auto)</w:t>
            </w:r>
          </w:p>
        </w:tc>
      </w:tr>
      <w:tr>
        <w:tc>
          <w:tcPr>
            <w:tcW w:type="dxa" w:w="4394"/>
          </w:tcPr>
          <w:p>
            <w:pPr>
              <w:spacing w:line="240" w:lineRule="auto"/>
              <w:ind w:firstLine="0"/>
            </w:pPr>
            <w:r/>
            <w:r>
              <w:rPr>
                <w:rFonts w:ascii="Times New Roman" w:hAnsi="Times New Roman" w:eastAsia="Times New Roman"/>
                <w:b w:val="0"/>
                <w:i w:val="0"/>
                <w:sz w:val="20"/>
              </w:rPr>
              <w:t>RM-032</w:t>
            </w:r>
          </w:p>
        </w:tc>
        <w:tc>
          <w:tcPr>
            <w:tcW w:type="dxa" w:w="4394"/>
          </w:tcPr>
          <w:p>
            <w:pPr>
              <w:spacing w:line="240" w:lineRule="auto"/>
              <w:ind w:firstLine="0"/>
            </w:pPr>
            <w:r/>
            <w:r>
              <w:rPr>
                <w:rFonts w:ascii="Times New Roman" w:hAnsi="Times New Roman" w:eastAsia="Times New Roman"/>
                <w:b w:val="0"/>
                <w:i w:val="0"/>
                <w:sz w:val="20"/>
              </w:rPr>
              <w:t>Montant total = Tarif + Redevance</w:t>
            </w:r>
          </w:p>
        </w:tc>
      </w:tr>
      <w:tr>
        <w:tc>
          <w:tcPr>
            <w:tcW w:type="dxa" w:w="4394"/>
          </w:tcPr>
          <w:p>
            <w:pPr>
              <w:spacing w:line="240" w:lineRule="auto"/>
              <w:ind w:firstLine="0"/>
            </w:pPr>
            <w:r/>
            <w:r>
              <w:rPr>
                <w:rFonts w:ascii="Times New Roman" w:hAnsi="Times New Roman" w:eastAsia="Times New Roman"/>
                <w:b w:val="0"/>
                <w:i w:val="0"/>
                <w:sz w:val="20"/>
              </w:rPr>
              <w:t>RM-040</w:t>
            </w:r>
          </w:p>
        </w:tc>
        <w:tc>
          <w:tcPr>
            <w:tcW w:type="dxa" w:w="4394"/>
          </w:tcPr>
          <w:p>
            <w:pPr>
              <w:spacing w:line="240" w:lineRule="auto"/>
              <w:ind w:firstLine="0"/>
            </w:pPr>
            <w:r/>
            <w:r>
              <w:rPr>
                <w:rFonts w:ascii="Times New Roman" w:hAnsi="Times New Roman" w:eastAsia="Times New Roman"/>
                <w:b w:val="0"/>
                <w:i w:val="0"/>
                <w:sz w:val="20"/>
              </w:rPr>
              <w:t>Paiement au guichet BBDA (pas de paiement en ligne dans le prototype)</w:t>
            </w:r>
          </w:p>
        </w:tc>
      </w:tr>
      <w:tr>
        <w:tc>
          <w:tcPr>
            <w:tcW w:type="dxa" w:w="4394"/>
          </w:tcPr>
          <w:p>
            <w:pPr>
              <w:spacing w:line="240" w:lineRule="auto"/>
              <w:ind w:firstLine="0"/>
            </w:pPr>
            <w:r/>
            <w:r>
              <w:rPr>
                <w:rFonts w:ascii="Times New Roman" w:hAnsi="Times New Roman" w:eastAsia="Times New Roman"/>
                <w:b w:val="0"/>
                <w:i w:val="0"/>
                <w:sz w:val="20"/>
              </w:rPr>
              <w:t>RM-048</w:t>
            </w:r>
          </w:p>
        </w:tc>
        <w:tc>
          <w:tcPr>
            <w:tcW w:type="dxa" w:w="4394"/>
          </w:tcPr>
          <w:p>
            <w:pPr>
              <w:spacing w:line="240" w:lineRule="auto"/>
              <w:ind w:firstLine="0"/>
            </w:pPr>
            <w:r/>
            <w:r>
              <w:rPr>
                <w:rFonts w:ascii="Times New Roman" w:hAnsi="Times New Roman" w:eastAsia="Times New Roman"/>
                <w:b w:val="0"/>
                <w:i w:val="0"/>
                <w:sz w:val="20"/>
              </w:rPr>
              <w:t>Quittance générée seulement lorsque le solde restant = 0</w:t>
            </w:r>
          </w:p>
        </w:tc>
      </w:tr>
      <w:tr>
        <w:tc>
          <w:tcPr>
            <w:tcW w:type="dxa" w:w="4394"/>
          </w:tcPr>
          <w:p>
            <w:pPr>
              <w:spacing w:line="240" w:lineRule="auto"/>
              <w:ind w:firstLine="0"/>
            </w:pPr>
            <w:r/>
            <w:r>
              <w:rPr>
                <w:rFonts w:ascii="Times New Roman" w:hAnsi="Times New Roman" w:eastAsia="Times New Roman"/>
                <w:b w:val="0"/>
                <w:i w:val="0"/>
                <w:sz w:val="20"/>
              </w:rPr>
              <w:t>RM-021</w:t>
            </w:r>
          </w:p>
        </w:tc>
        <w:tc>
          <w:tcPr>
            <w:tcW w:type="dxa" w:w="4394"/>
          </w:tcPr>
          <w:p>
            <w:pPr>
              <w:spacing w:line="240" w:lineRule="auto"/>
              <w:ind w:firstLine="0"/>
            </w:pPr>
            <w:r/>
            <w:r>
              <w:rPr>
                <w:rFonts w:ascii="Times New Roman" w:hAnsi="Times New Roman" w:eastAsia="Times New Roman"/>
                <w:b w:val="0"/>
                <w:i w:val="0"/>
                <w:sz w:val="20"/>
              </w:rPr>
              <w:t>Promotion publique visible seulement si quittance_delivree</w:t>
            </w:r>
          </w:p>
        </w:tc>
      </w:tr>
    </w:tbl>
    <w:p/>
    <w:p>
      <w:r>
        <w:br w:type="page"/>
      </w:r>
    </w:p>
    <w:p>
      <w:pPr>
        <w:pStyle w:val="Heading1"/>
        <w:spacing w:line="360" w:lineRule="auto" w:before="360" w:after="200"/>
        <w:ind w:firstLine="0"/>
        <w:jc w:val="left"/>
      </w:pPr>
      <w:r>
        <w:rPr>
          <w:rFonts w:ascii="Times New Roman" w:hAnsi="Times New Roman" w:eastAsia="Times New Roman"/>
          <w:b/>
          <w:i w:val="0"/>
          <w:sz w:val="28"/>
        </w:rPr>
        <w:t>CHAPITRE 3 — PRÉSENTATION ET ANALYSE DES RÉSULTATS</w:t>
      </w:r>
    </w:p>
    <w:p>
      <w:pPr>
        <w:spacing w:line="360" w:lineRule="auto" w:after="160" w:before="0"/>
        <w:ind w:firstLine="709"/>
        <w:jc w:val="both"/>
      </w:pPr>
      <w:r>
        <w:rPr>
          <w:rFonts w:ascii="Times New Roman" w:hAnsi="Times New Roman" w:eastAsia="Times New Roman"/>
          <w:b w:val="0"/>
          <w:i w:val="0"/>
          <w:sz w:val="24"/>
        </w:rPr>
        <w:t>Les résultats sont présentés suivant l'ordre des objectifs spécifiques et du développement itératif. Les captures d'écran proviennent de l'application réelle (environnement de démonstration). L'URL publique de référence est https://bbda-events.onrender.com.</w:t>
      </w:r>
    </w:p>
    <w:p>
      <w:pPr>
        <w:spacing w:line="360" w:lineRule="auto" w:after="160" w:before="0"/>
        <w:ind w:firstLine="0"/>
        <w:jc w:val="center"/>
      </w:pPr>
      <w:r>
        <w:rPr>
          <w:rFonts w:ascii="Times New Roman" w:hAnsi="Times New Roman" w:eastAsia="Times New Roman"/>
          <w:b/>
          <w:i w:val="0"/>
          <w:sz w:val="22"/>
        </w:rPr>
        <w:t>Tableau 5 — Objectifs spécifiques et livrables</w:t>
      </w:r>
    </w:p>
    <w:tbl>
      <w:tblPr>
        <w:tblStyle w:val="TableGrid"/>
        <w:tblW w:type="auto" w:w="0"/>
        <w:tblLook w:firstColumn="1" w:firstRow="1" w:lastColumn="0" w:lastRow="0" w:noHBand="0" w:noVBand="1" w:val="04A0"/>
      </w:tblPr>
      <w:tblGrid>
        <w:gridCol w:w="4394"/>
        <w:gridCol w:w="4394"/>
      </w:tblGrid>
      <w:tr>
        <w:tc>
          <w:tcPr>
            <w:tcW w:type="dxa" w:w="4394"/>
          </w:tcPr>
          <w:p>
            <w:pPr>
              <w:ind w:firstLine="0"/>
            </w:pPr>
            <w:r/>
            <w:r>
              <w:rPr>
                <w:rFonts w:ascii="Times New Roman" w:hAnsi="Times New Roman" w:eastAsia="Times New Roman"/>
                <w:b/>
                <w:i w:val="0"/>
                <w:sz w:val="22"/>
              </w:rPr>
              <w:t>Objectif</w:t>
            </w:r>
          </w:p>
        </w:tc>
        <w:tc>
          <w:tcPr>
            <w:tcW w:type="dxa" w:w="4394"/>
          </w:tcPr>
          <w:p>
            <w:pPr>
              <w:ind w:firstLine="0"/>
            </w:pPr>
            <w:r/>
            <w:r>
              <w:rPr>
                <w:rFonts w:ascii="Times New Roman" w:hAnsi="Times New Roman" w:eastAsia="Times New Roman"/>
                <w:b/>
                <w:i w:val="0"/>
                <w:sz w:val="22"/>
              </w:rPr>
              <w:t>Livrable / preuve</w:t>
            </w:r>
          </w:p>
        </w:tc>
      </w:tr>
      <w:tr>
        <w:tc>
          <w:tcPr>
            <w:tcW w:type="dxa" w:w="4394"/>
          </w:tcPr>
          <w:p>
            <w:pPr>
              <w:spacing w:line="240" w:lineRule="auto"/>
              <w:ind w:firstLine="0"/>
            </w:pPr>
            <w:r/>
            <w:r>
              <w:rPr>
                <w:rFonts w:ascii="Times New Roman" w:hAnsi="Times New Roman" w:eastAsia="Times New Roman"/>
                <w:b w:val="0"/>
                <w:i w:val="0"/>
                <w:sz w:val="20"/>
              </w:rPr>
              <w:t>Analyse processus</w:t>
            </w:r>
          </w:p>
        </w:tc>
        <w:tc>
          <w:tcPr>
            <w:tcW w:type="dxa" w:w="4394"/>
          </w:tcPr>
          <w:p>
            <w:pPr>
              <w:spacing w:line="240" w:lineRule="auto"/>
              <w:ind w:firstLine="0"/>
            </w:pPr>
            <w:r/>
            <w:r>
              <w:rPr>
                <w:rFonts w:ascii="Times New Roman" w:hAnsi="Times New Roman" w:eastAsia="Times New Roman"/>
                <w:b w:val="0"/>
                <w:i w:val="0"/>
                <w:sz w:val="20"/>
              </w:rPr>
              <w:t>Chap. 1–2 ; fiches / photos quittance</w:t>
            </w:r>
          </w:p>
        </w:tc>
      </w:tr>
      <w:tr>
        <w:tc>
          <w:tcPr>
            <w:tcW w:type="dxa" w:w="4394"/>
          </w:tcPr>
          <w:p>
            <w:pPr>
              <w:spacing w:line="240" w:lineRule="auto"/>
              <w:ind w:firstLine="0"/>
            </w:pPr>
            <w:r/>
            <w:r>
              <w:rPr>
                <w:rFonts w:ascii="Times New Roman" w:hAnsi="Times New Roman" w:eastAsia="Times New Roman"/>
                <w:b w:val="0"/>
                <w:i w:val="0"/>
                <w:sz w:val="20"/>
              </w:rPr>
              <w:t>Besoins</w:t>
            </w:r>
          </w:p>
        </w:tc>
        <w:tc>
          <w:tcPr>
            <w:tcW w:type="dxa" w:w="4394"/>
          </w:tcPr>
          <w:p>
            <w:pPr>
              <w:spacing w:line="240" w:lineRule="auto"/>
              <w:ind w:firstLine="0"/>
            </w:pPr>
            <w:r/>
            <w:r>
              <w:rPr>
                <w:rFonts w:ascii="Times New Roman" w:hAnsi="Times New Roman" w:eastAsia="Times New Roman"/>
                <w:b w:val="0"/>
                <w:i w:val="0"/>
                <w:sz w:val="20"/>
              </w:rPr>
              <w:t>Cahier des charges V2 ; REGLES_METIER.md</w:t>
            </w:r>
          </w:p>
        </w:tc>
      </w:tr>
      <w:tr>
        <w:tc>
          <w:tcPr>
            <w:tcW w:type="dxa" w:w="4394"/>
          </w:tcPr>
          <w:p>
            <w:pPr>
              <w:spacing w:line="240" w:lineRule="auto"/>
              <w:ind w:firstLine="0"/>
            </w:pPr>
            <w:r/>
            <w:r>
              <w:rPr>
                <w:rFonts w:ascii="Times New Roman" w:hAnsi="Times New Roman" w:eastAsia="Times New Roman"/>
                <w:b w:val="0"/>
                <w:i w:val="0"/>
                <w:sz w:val="20"/>
              </w:rPr>
              <w:t>Conception</w:t>
            </w:r>
          </w:p>
        </w:tc>
        <w:tc>
          <w:tcPr>
            <w:tcW w:type="dxa" w:w="4394"/>
          </w:tcPr>
          <w:p>
            <w:pPr>
              <w:spacing w:line="240" w:lineRule="auto"/>
              <w:ind w:firstLine="0"/>
            </w:pPr>
            <w:r/>
            <w:r>
              <w:rPr>
                <w:rFonts w:ascii="Times New Roman" w:hAnsi="Times New Roman" w:eastAsia="Times New Roman"/>
                <w:b w:val="0"/>
                <w:i w:val="0"/>
                <w:sz w:val="20"/>
              </w:rPr>
              <w:t>ARCHITECTURE.md ; DATABASE_SCHEMA.md</w:t>
            </w:r>
          </w:p>
        </w:tc>
      </w:tr>
      <w:tr>
        <w:tc>
          <w:tcPr>
            <w:tcW w:type="dxa" w:w="4394"/>
          </w:tcPr>
          <w:p>
            <w:pPr>
              <w:spacing w:line="240" w:lineRule="auto"/>
              <w:ind w:firstLine="0"/>
            </w:pPr>
            <w:r/>
            <w:r>
              <w:rPr>
                <w:rFonts w:ascii="Times New Roman" w:hAnsi="Times New Roman" w:eastAsia="Times New Roman"/>
                <w:b w:val="0"/>
                <w:i w:val="0"/>
                <w:sz w:val="20"/>
              </w:rPr>
              <w:t>Déclaration en ligne</w:t>
            </w:r>
          </w:p>
        </w:tc>
        <w:tc>
          <w:tcPr>
            <w:tcW w:type="dxa" w:w="4394"/>
          </w:tcPr>
          <w:p>
            <w:pPr>
              <w:spacing w:line="240" w:lineRule="auto"/>
              <w:ind w:firstLine="0"/>
            </w:pPr>
            <w:r/>
            <w:r>
              <w:rPr>
                <w:rFonts w:ascii="Times New Roman" w:hAnsi="Times New Roman" w:eastAsia="Times New Roman"/>
                <w:b w:val="0"/>
                <w:i w:val="0"/>
                <w:sz w:val="20"/>
              </w:rPr>
              <w:t>Module declarations ; Fig. 5–11</w:t>
            </w:r>
          </w:p>
        </w:tc>
      </w:tr>
      <w:tr>
        <w:tc>
          <w:tcPr>
            <w:tcW w:type="dxa" w:w="4394"/>
          </w:tcPr>
          <w:p>
            <w:pPr>
              <w:spacing w:line="240" w:lineRule="auto"/>
              <w:ind w:firstLine="0"/>
            </w:pPr>
            <w:r/>
            <w:r>
              <w:rPr>
                <w:rFonts w:ascii="Times New Roman" w:hAnsi="Times New Roman" w:eastAsia="Times New Roman"/>
                <w:b w:val="0"/>
                <w:i w:val="0"/>
                <w:sz w:val="20"/>
              </w:rPr>
              <w:t>Espace agent</w:t>
            </w:r>
          </w:p>
        </w:tc>
        <w:tc>
          <w:tcPr>
            <w:tcW w:type="dxa" w:w="4394"/>
          </w:tcPr>
          <w:p>
            <w:pPr>
              <w:spacing w:line="240" w:lineRule="auto"/>
              <w:ind w:firstLine="0"/>
            </w:pPr>
            <w:r/>
            <w:r>
              <w:rPr>
                <w:rFonts w:ascii="Times New Roman" w:hAnsi="Times New Roman" w:eastAsia="Times New Roman"/>
                <w:b w:val="0"/>
                <w:i w:val="0"/>
                <w:sz w:val="20"/>
              </w:rPr>
              <w:t>Module agent ; Fig. 13–19</w:t>
            </w:r>
          </w:p>
        </w:tc>
      </w:tr>
      <w:tr>
        <w:tc>
          <w:tcPr>
            <w:tcW w:type="dxa" w:w="4394"/>
          </w:tcPr>
          <w:p>
            <w:pPr>
              <w:spacing w:line="240" w:lineRule="auto"/>
              <w:ind w:firstLine="0"/>
            </w:pPr>
            <w:r/>
            <w:r>
              <w:rPr>
                <w:rFonts w:ascii="Times New Roman" w:hAnsi="Times New Roman" w:eastAsia="Times New Roman"/>
                <w:b w:val="0"/>
                <w:i w:val="0"/>
                <w:sz w:val="20"/>
              </w:rPr>
              <w:t>Notifications email</w:t>
            </w:r>
          </w:p>
        </w:tc>
        <w:tc>
          <w:tcPr>
            <w:tcW w:type="dxa" w:w="4394"/>
          </w:tcPr>
          <w:p>
            <w:pPr>
              <w:spacing w:line="240" w:lineRule="auto"/>
              <w:ind w:firstLine="0"/>
            </w:pPr>
            <w:r/>
            <w:r>
              <w:rPr>
                <w:rFonts w:ascii="Times New Roman" w:hAnsi="Times New Roman" w:eastAsia="Times New Roman"/>
                <w:b w:val="0"/>
                <w:i w:val="0"/>
                <w:sz w:val="20"/>
              </w:rPr>
              <w:t>email_service ; Fig. 24</w:t>
            </w:r>
          </w:p>
        </w:tc>
      </w:tr>
      <w:tr>
        <w:tc>
          <w:tcPr>
            <w:tcW w:type="dxa" w:w="4394"/>
          </w:tcPr>
          <w:p>
            <w:pPr>
              <w:spacing w:line="240" w:lineRule="auto"/>
              <w:ind w:firstLine="0"/>
            </w:pPr>
            <w:r/>
            <w:r>
              <w:rPr>
                <w:rFonts w:ascii="Times New Roman" w:hAnsi="Times New Roman" w:eastAsia="Times New Roman"/>
                <w:b w:val="0"/>
                <w:i w:val="0"/>
                <w:sz w:val="20"/>
              </w:rPr>
              <w:t>Arriérés</w:t>
            </w:r>
          </w:p>
        </w:tc>
        <w:tc>
          <w:tcPr>
            <w:tcW w:type="dxa" w:w="4394"/>
          </w:tcPr>
          <w:p>
            <w:pPr>
              <w:spacing w:line="240" w:lineRule="auto"/>
              <w:ind w:firstLine="0"/>
            </w:pPr>
            <w:r/>
            <w:r>
              <w:rPr>
                <w:rFonts w:ascii="Times New Roman" w:hAnsi="Times New Roman" w:eastAsia="Times New Roman"/>
                <w:b w:val="0"/>
                <w:i w:val="0"/>
                <w:sz w:val="20"/>
              </w:rPr>
              <w:t>moteur.py ; Fig. 6, 14, 15</w:t>
            </w:r>
          </w:p>
        </w:tc>
      </w:tr>
      <w:tr>
        <w:tc>
          <w:tcPr>
            <w:tcW w:type="dxa" w:w="4394"/>
          </w:tcPr>
          <w:p>
            <w:pPr>
              <w:spacing w:line="240" w:lineRule="auto"/>
              <w:ind w:firstLine="0"/>
            </w:pPr>
            <w:r/>
            <w:r>
              <w:rPr>
                <w:rFonts w:ascii="Times New Roman" w:hAnsi="Times New Roman" w:eastAsia="Times New Roman"/>
                <w:b w:val="0"/>
                <w:i w:val="0"/>
                <w:sz w:val="20"/>
              </w:rPr>
              <w:t>Quittance PDF</w:t>
            </w:r>
          </w:p>
        </w:tc>
        <w:tc>
          <w:tcPr>
            <w:tcW w:type="dxa" w:w="4394"/>
          </w:tcPr>
          <w:p>
            <w:pPr>
              <w:spacing w:line="240" w:lineRule="auto"/>
              <w:ind w:firstLine="0"/>
            </w:pPr>
            <w:r/>
            <w:r>
              <w:rPr>
                <w:rFonts w:ascii="Times New Roman" w:hAnsi="Times New Roman" w:eastAsia="Times New Roman"/>
                <w:b w:val="0"/>
                <w:i w:val="0"/>
                <w:sz w:val="20"/>
              </w:rPr>
              <w:t>pdf_generator.py ; Fig. 21–23, 28</w:t>
            </w:r>
          </w:p>
        </w:tc>
      </w:tr>
      <w:tr>
        <w:tc>
          <w:tcPr>
            <w:tcW w:type="dxa" w:w="4394"/>
          </w:tcPr>
          <w:p>
            <w:pPr>
              <w:spacing w:line="240" w:lineRule="auto"/>
              <w:ind w:firstLine="0"/>
            </w:pPr>
            <w:r/>
            <w:r>
              <w:rPr>
                <w:rFonts w:ascii="Times New Roman" w:hAnsi="Times New Roman" w:eastAsia="Times New Roman"/>
                <w:b w:val="0"/>
                <w:i w:val="0"/>
                <w:sz w:val="20"/>
              </w:rPr>
              <w:t>Tests / doc</w:t>
            </w:r>
          </w:p>
        </w:tc>
        <w:tc>
          <w:tcPr>
            <w:tcW w:type="dxa" w:w="4394"/>
          </w:tcPr>
          <w:p>
            <w:pPr>
              <w:spacing w:line="240" w:lineRule="auto"/>
              <w:ind w:firstLine="0"/>
            </w:pPr>
            <w:r/>
            <w:r>
              <w:rPr>
                <w:rFonts w:ascii="Times New Roman" w:hAnsi="Times New Roman" w:eastAsia="Times New Roman"/>
                <w:b w:val="0"/>
                <w:i w:val="0"/>
                <w:sz w:val="20"/>
              </w:rPr>
              <w:t>~100+ tests pytest ; présent mémoire</w:t>
            </w:r>
          </w:p>
        </w:tc>
      </w:tr>
    </w:tbl>
    <w:p/>
    <w:p>
      <w:pPr>
        <w:pStyle w:val="Heading2"/>
        <w:spacing w:line="360" w:lineRule="auto" w:before="240" w:after="200"/>
        <w:ind w:firstLine="0"/>
        <w:jc w:val="left"/>
      </w:pPr>
      <w:r>
        <w:rPr>
          <w:rFonts w:ascii="Times New Roman" w:hAnsi="Times New Roman" w:eastAsia="Times New Roman"/>
          <w:b/>
          <w:i w:val="0"/>
          <w:sz w:val="26"/>
        </w:rPr>
        <w:t>3.1 Socle applicatif et page d'accueil publique</w:t>
      </w:r>
    </w:p>
    <w:p>
      <w:pPr>
        <w:spacing w:line="360" w:lineRule="auto" w:after="160" w:before="0"/>
        <w:ind w:firstLine="709"/>
        <w:jc w:val="both"/>
      </w:pPr>
      <w:r>
        <w:rPr>
          <w:rFonts w:ascii="Times New Roman" w:hAnsi="Times New Roman" w:eastAsia="Times New Roman"/>
          <w:b w:val="0"/>
          <w:i w:val="0"/>
          <w:sz w:val="24"/>
        </w:rPr>
        <w:t>Le socle Flask (factory, blueprints, init_db / demo_data) a été mis en place en premier. La page d'accueil publique présente la marque BBDA Events, le parcours en trois étapes et les accès inscription / connexion.</w:t>
      </w:r>
    </w:p>
    <w:p>
      <w:pPr>
        <w:spacing w:before="160" w:after="80"/>
        <w:ind w:firstLine="0"/>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1 — Page d'accueil publique de la plateforme BBDA Events</w:t>
      </w:r>
    </w:p>
    <w:p>
      <w:pPr>
        <w:pStyle w:val="Heading2"/>
        <w:spacing w:line="360" w:lineRule="auto" w:before="240" w:after="200"/>
        <w:ind w:firstLine="0"/>
        <w:jc w:val="left"/>
      </w:pPr>
      <w:r>
        <w:rPr>
          <w:rFonts w:ascii="Times New Roman" w:hAnsi="Times New Roman" w:eastAsia="Times New Roman"/>
          <w:b/>
          <w:i w:val="0"/>
          <w:sz w:val="26"/>
        </w:rPr>
        <w:t>3.2 Authentification et contrôle d'accès</w:t>
      </w:r>
    </w:p>
    <w:p>
      <w:pPr>
        <w:spacing w:line="360" w:lineRule="auto" w:after="160" w:before="0"/>
        <w:ind w:firstLine="709"/>
        <w:jc w:val="both"/>
      </w:pPr>
      <w:r>
        <w:rPr>
          <w:rFonts w:ascii="Times New Roman" w:hAnsi="Times New Roman" w:eastAsia="Times New Roman"/>
          <w:b w:val="0"/>
          <w:i w:val="0"/>
          <w:sz w:val="24"/>
        </w:rPr>
        <w:t>L'inscription crée un compte organisateur ; la connexion repose sur Flask-Login et bcrypt. Un décorateur role_required restreint les routes agent et admin. Les messages flash informent l'utilisateur en cas d'erreur.</w:t>
      </w:r>
    </w:p>
    <w:p>
      <w:pPr>
        <w:spacing w:before="160" w:after="80"/>
        <w:ind w:firstLine="0"/>
        <w:jc w:val="center"/>
      </w:pPr>
      <w:r>
        <w:drawing>
          <wp:inline xmlns:a="http://schemas.openxmlformats.org/drawingml/2006/main" xmlns:pic="http://schemas.openxmlformats.org/drawingml/2006/picture">
            <wp:extent cx="5220000" cy="361321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220000" cy="3613219"/>
                    </a:xfrm>
                    <a:prstGeom prst="rect"/>
                  </pic:spPr>
                </pic:pic>
              </a:graphicData>
            </a:graphic>
          </wp:inline>
        </w:drawing>
      </w:r>
    </w:p>
    <w:p>
      <w:pPr>
        <w:spacing w:after="240"/>
        <w:ind w:firstLine="0"/>
        <w:jc w:val="center"/>
      </w:pPr>
      <w:r>
        <w:rPr>
          <w:rFonts w:ascii="Times New Roman" w:hAnsi="Times New Roman" w:eastAsia="Times New Roman"/>
          <w:b w:val="0"/>
          <w:i/>
          <w:sz w:val="22"/>
        </w:rPr>
        <w:t>Figure 2 — Formulaire d'inscription d'un organisateur</w:t>
      </w:r>
    </w:p>
    <w:p>
      <w:pPr>
        <w:spacing w:before="160" w:after="80"/>
        <w:ind w:firstLine="0"/>
        <w:jc w:val="center"/>
      </w:pPr>
      <w:r>
        <w:drawing>
          <wp:inline xmlns:a="http://schemas.openxmlformats.org/drawingml/2006/main" xmlns:pic="http://schemas.openxmlformats.org/drawingml/2006/picture">
            <wp:extent cx="5220000" cy="32625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3 — Formulaire de connexion</w:t>
      </w:r>
    </w:p>
    <w:p>
      <w:pPr>
        <w:spacing w:before="160" w:after="80"/>
        <w:ind w:firstLine="0"/>
        <w:jc w:val="center"/>
      </w:pPr>
      <w:r>
        <w:drawing>
          <wp:inline xmlns:a="http://schemas.openxmlformats.org/drawingml/2006/main" xmlns:pic="http://schemas.openxmlformats.org/drawingml/2006/picture">
            <wp:extent cx="5220000" cy="32625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4 — Exemple de message d'erreur (compte inconnu)</w:t>
      </w:r>
    </w:p>
    <w:p>
      <w:pPr>
        <w:pStyle w:val="Heading2"/>
        <w:spacing w:line="360" w:lineRule="auto" w:before="240" w:after="200"/>
        <w:ind w:firstLine="0"/>
        <w:jc w:val="left"/>
      </w:pPr>
      <w:r>
        <w:rPr>
          <w:rFonts w:ascii="Times New Roman" w:hAnsi="Times New Roman" w:eastAsia="Times New Roman"/>
          <w:b/>
          <w:i w:val="0"/>
          <w:sz w:val="26"/>
        </w:rPr>
        <w:t>3.3 Tableau de bord de l'organisateur</w:t>
      </w:r>
    </w:p>
    <w:p>
      <w:pPr>
        <w:spacing w:line="360" w:lineRule="auto" w:after="160" w:before="0"/>
        <w:ind w:firstLine="709"/>
        <w:jc w:val="both"/>
      </w:pPr>
      <w:r>
        <w:rPr>
          <w:rFonts w:ascii="Times New Roman" w:hAnsi="Times New Roman" w:eastAsia="Times New Roman"/>
          <w:b w:val="0"/>
          <w:i w:val="0"/>
          <w:sz w:val="24"/>
        </w:rPr>
        <w:t>Chaque organisateur visualise ses déclarations et leur statut. En cas d'arriéré bloquant (RM-010), une bannière empêche la création de nouvelles déclarations jusqu'à régularisation.</w:t>
      </w:r>
    </w:p>
    <w:p>
      <w:pPr>
        <w:spacing w:before="160" w:after="80"/>
        <w:ind w:firstLine="0"/>
        <w:jc w:val="center"/>
      </w:pPr>
      <w:r>
        <w:drawing>
          <wp:inline xmlns:a="http://schemas.openxmlformats.org/drawingml/2006/main" xmlns:pic="http://schemas.openxmlformats.org/drawingml/2006/picture">
            <wp:extent cx="5220000" cy="32625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5 — Tableau de bord d'un organisateur avec déclarations en cours</w:t>
      </w:r>
    </w:p>
    <w:p>
      <w:pPr>
        <w:spacing w:before="160" w:after="80"/>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6 — Tableau de bord d'un organisateur bloqué pour cause d'arriéré</w:t>
      </w:r>
    </w:p>
    <w:p>
      <w:pPr>
        <w:pStyle w:val="Heading2"/>
        <w:spacing w:line="360" w:lineRule="auto" w:before="240" w:after="200"/>
        <w:ind w:firstLine="0"/>
        <w:jc w:val="left"/>
      </w:pPr>
      <w:r>
        <w:rPr>
          <w:rFonts w:ascii="Times New Roman" w:hAnsi="Times New Roman" w:eastAsia="Times New Roman"/>
          <w:b/>
          <w:i w:val="0"/>
          <w:sz w:val="26"/>
        </w:rPr>
        <w:t>3.4 Formulaire de déclaration d'événement</w:t>
      </w:r>
    </w:p>
    <w:p>
      <w:pPr>
        <w:spacing w:line="360" w:lineRule="auto" w:after="160" w:before="0"/>
        <w:ind w:firstLine="709"/>
        <w:jc w:val="both"/>
      </w:pPr>
      <w:r>
        <w:rPr>
          <w:rFonts w:ascii="Times New Roman" w:hAnsi="Times New Roman" w:eastAsia="Times New Roman"/>
          <w:b w:val="0"/>
          <w:i w:val="0"/>
          <w:sz w:val="24"/>
        </w:rPr>
        <w:t>Le formulaire reprend les champs de la fiche papier (identité, nature de la manifestation, salle, date, artistes) avec comportement dynamique JavaScript (ajout de lignes d'artistes) et validation client/serveur (RM-011, RM-012).</w:t>
      </w:r>
    </w:p>
    <w:p>
      <w:pPr>
        <w:spacing w:before="160" w:after="80"/>
        <w:ind w:firstLine="0"/>
        <w:jc w:val="center"/>
      </w:pPr>
      <w:r>
        <w:drawing>
          <wp:inline xmlns:a="http://schemas.openxmlformats.org/drawingml/2006/main" xmlns:pic="http://schemas.openxmlformats.org/drawingml/2006/picture">
            <wp:extent cx="5220000" cy="9538734"/>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220000" cy="9538734"/>
                    </a:xfrm>
                    <a:prstGeom prst="rect"/>
                  </pic:spPr>
                </pic:pic>
              </a:graphicData>
            </a:graphic>
          </wp:inline>
        </w:drawing>
      </w:r>
    </w:p>
    <w:p>
      <w:pPr>
        <w:spacing w:after="240"/>
        <w:ind w:firstLine="0"/>
        <w:jc w:val="center"/>
      </w:pPr>
      <w:r>
        <w:rPr>
          <w:rFonts w:ascii="Times New Roman" w:hAnsi="Times New Roman" w:eastAsia="Times New Roman"/>
          <w:b w:val="0"/>
          <w:i/>
          <w:sz w:val="22"/>
        </w:rPr>
        <w:t>Figure 7 — Formulaire de déclaration d'un concert</w:t>
      </w:r>
    </w:p>
    <w:p>
      <w:pPr>
        <w:spacing w:before="160" w:after="80"/>
        <w:ind w:firstLine="0"/>
        <w:jc w:val="center"/>
      </w:pPr>
      <w:r>
        <w:drawing>
          <wp:inline xmlns:a="http://schemas.openxmlformats.org/drawingml/2006/main" xmlns:pic="http://schemas.openxmlformats.org/drawingml/2006/picture">
            <wp:extent cx="5220000" cy="11047641"/>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220000" cy="11047641"/>
                    </a:xfrm>
                    <a:prstGeom prst="rect"/>
                  </pic:spPr>
                </pic:pic>
              </a:graphicData>
            </a:graphic>
          </wp:inline>
        </w:drawing>
      </w:r>
    </w:p>
    <w:p>
      <w:pPr>
        <w:spacing w:after="240"/>
        <w:ind w:firstLine="0"/>
        <w:jc w:val="center"/>
      </w:pPr>
      <w:r>
        <w:rPr>
          <w:rFonts w:ascii="Times New Roman" w:hAnsi="Times New Roman" w:eastAsia="Times New Roman"/>
          <w:b w:val="0"/>
          <w:i/>
          <w:sz w:val="22"/>
        </w:rPr>
        <w:t>Figure 8 — Formulaire de déclaration d'un festival avec plusieurs artistes</w:t>
      </w:r>
    </w:p>
    <w:p>
      <w:pPr>
        <w:spacing w:before="160" w:after="80"/>
        <w:ind w:firstLine="0"/>
        <w:jc w:val="center"/>
      </w:pPr>
      <w:r>
        <w:drawing>
          <wp:inline xmlns:a="http://schemas.openxmlformats.org/drawingml/2006/main" xmlns:pic="http://schemas.openxmlformats.org/drawingml/2006/picture">
            <wp:extent cx="5220000" cy="1383707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220000" cy="13837078"/>
                    </a:xfrm>
                    <a:prstGeom prst="rect"/>
                  </pic:spPr>
                </pic:pic>
              </a:graphicData>
            </a:graphic>
          </wp:inline>
        </w:drawing>
      </w:r>
    </w:p>
    <w:p>
      <w:pPr>
        <w:spacing w:after="240"/>
        <w:ind w:firstLine="0"/>
        <w:jc w:val="center"/>
      </w:pPr>
      <w:r>
        <w:rPr>
          <w:rFonts w:ascii="Times New Roman" w:hAnsi="Times New Roman" w:eastAsia="Times New Roman"/>
          <w:b w:val="0"/>
          <w:i/>
          <w:sz w:val="22"/>
        </w:rPr>
        <w:t>Figure 9 — Messages d'erreur lors d'une saisie incomplète</w:t>
      </w:r>
    </w:p>
    <w:p>
      <w:pPr>
        <w:pStyle w:val="Heading2"/>
        <w:spacing w:line="360" w:lineRule="auto" w:before="240" w:after="200"/>
        <w:ind w:firstLine="0"/>
        <w:jc w:val="left"/>
      </w:pPr>
      <w:r>
        <w:rPr>
          <w:rFonts w:ascii="Times New Roman" w:hAnsi="Times New Roman" w:eastAsia="Times New Roman"/>
          <w:b/>
          <w:i w:val="0"/>
          <w:sz w:val="26"/>
        </w:rPr>
        <w:t>3.5 Page de détail et chronologie</w:t>
      </w:r>
    </w:p>
    <w:p>
      <w:pPr>
        <w:spacing w:line="360" w:lineRule="auto" w:after="160" w:before="0"/>
        <w:ind w:firstLine="709"/>
        <w:jc w:val="both"/>
      </w:pPr>
      <w:r>
        <w:rPr>
          <w:rFonts w:ascii="Times New Roman" w:hAnsi="Times New Roman" w:eastAsia="Times New Roman"/>
          <w:b w:val="0"/>
          <w:i w:val="0"/>
          <w:sz w:val="24"/>
        </w:rPr>
        <w:t>La page de détail présente l'état complet du dossier et une chronologie visuelle (soumission, montant fixé, paiement, quittance).</w:t>
      </w:r>
    </w:p>
    <w:p>
      <w:pPr>
        <w:spacing w:before="160" w:after="80"/>
        <w:ind w:firstLine="0"/>
        <w:jc w:val="center"/>
      </w:pPr>
      <w:r>
        <w:drawing>
          <wp:inline xmlns:a="http://schemas.openxmlformats.org/drawingml/2006/main" xmlns:pic="http://schemas.openxmlformats.org/drawingml/2006/picture">
            <wp:extent cx="5220000" cy="3755953"/>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220000" cy="3755953"/>
                    </a:xfrm>
                    <a:prstGeom prst="rect"/>
                  </pic:spPr>
                </pic:pic>
              </a:graphicData>
            </a:graphic>
          </wp:inline>
        </w:drawing>
      </w:r>
    </w:p>
    <w:p>
      <w:pPr>
        <w:spacing w:after="240"/>
        <w:ind w:firstLine="0"/>
        <w:jc w:val="center"/>
      </w:pPr>
      <w:r>
        <w:rPr>
          <w:rFonts w:ascii="Times New Roman" w:hAnsi="Times New Roman" w:eastAsia="Times New Roman"/>
          <w:b w:val="0"/>
          <w:i/>
          <w:sz w:val="22"/>
        </w:rPr>
        <w:t>Figure 10 — Page de détail d'une déclaration — vue d'ensemble</w:t>
      </w:r>
    </w:p>
    <w:p>
      <w:pPr>
        <w:spacing w:before="160" w:after="80"/>
        <w:ind w:firstLine="0"/>
        <w:jc w:val="center"/>
      </w:pPr>
      <w:r>
        <w:drawing>
          <wp:inline xmlns:a="http://schemas.openxmlformats.org/drawingml/2006/main" xmlns:pic="http://schemas.openxmlformats.org/drawingml/2006/picture">
            <wp:extent cx="5220000" cy="3755953"/>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220000" cy="3755953"/>
                    </a:xfrm>
                    <a:prstGeom prst="rect"/>
                  </pic:spPr>
                </pic:pic>
              </a:graphicData>
            </a:graphic>
          </wp:inline>
        </w:drawing>
      </w:r>
    </w:p>
    <w:p>
      <w:pPr>
        <w:spacing w:after="240"/>
        <w:ind w:firstLine="0"/>
        <w:jc w:val="center"/>
      </w:pPr>
      <w:r>
        <w:rPr>
          <w:rFonts w:ascii="Times New Roman" w:hAnsi="Times New Roman" w:eastAsia="Times New Roman"/>
          <w:b w:val="0"/>
          <w:i/>
          <w:sz w:val="22"/>
        </w:rPr>
        <w:t>Figure 11 — Chronologie du traitement d'une déclaration</w:t>
      </w:r>
    </w:p>
    <w:p>
      <w:pPr>
        <w:spacing w:before="160" w:after="80"/>
        <w:ind w:firstLine="0"/>
        <w:jc w:val="center"/>
      </w:pPr>
      <w:r>
        <w:drawing>
          <wp:inline xmlns:a="http://schemas.openxmlformats.org/drawingml/2006/main" xmlns:pic="http://schemas.openxmlformats.org/drawingml/2006/picture">
            <wp:extent cx="5220000" cy="3755953"/>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220000" cy="3755953"/>
                    </a:xfrm>
                    <a:prstGeom prst="rect"/>
                  </pic:spPr>
                </pic:pic>
              </a:graphicData>
            </a:graphic>
          </wp:inline>
        </w:drawing>
      </w:r>
    </w:p>
    <w:p>
      <w:pPr>
        <w:spacing w:after="240"/>
        <w:ind w:firstLine="0"/>
        <w:jc w:val="center"/>
      </w:pPr>
      <w:r>
        <w:rPr>
          <w:rFonts w:ascii="Times New Roman" w:hAnsi="Times New Roman" w:eastAsia="Times New Roman"/>
          <w:b w:val="0"/>
          <w:i/>
          <w:sz w:val="22"/>
        </w:rPr>
        <w:t>Figure 12 — Détail après fixation du montant par l'agent</w:t>
      </w:r>
    </w:p>
    <w:p>
      <w:pPr>
        <w:pStyle w:val="Heading2"/>
        <w:spacing w:line="360" w:lineRule="auto" w:before="240" w:after="200"/>
        <w:ind w:firstLine="0"/>
        <w:jc w:val="left"/>
      </w:pPr>
      <w:r>
        <w:rPr>
          <w:rFonts w:ascii="Times New Roman" w:hAnsi="Times New Roman" w:eastAsia="Times New Roman"/>
          <w:b/>
          <w:i w:val="0"/>
          <w:sz w:val="26"/>
        </w:rPr>
        <w:t>3.6 Espace agent — pilotage et traitement</w:t>
      </w:r>
    </w:p>
    <w:p>
      <w:pPr>
        <w:spacing w:line="360" w:lineRule="auto" w:after="160" w:before="0"/>
        <w:ind w:firstLine="709"/>
        <w:jc w:val="both"/>
      </w:pPr>
      <w:r>
        <w:rPr>
          <w:rFonts w:ascii="Times New Roman" w:hAnsi="Times New Roman" w:eastAsia="Times New Roman"/>
          <w:b w:val="0"/>
          <w:i w:val="0"/>
          <w:sz w:val="24"/>
        </w:rPr>
        <w:t>L'agent dispose d'indicateurs agrégés, de listes filtrables, d'une vue surveillance et d'une vue arriérés. L'ouverture d'une déclaration bascule son statut en « en_evaluation ». L'agent saisit Tarif et Redevance ; le total est calculé en temps réel côté client (RM-030 à RM-035).</w:t>
      </w:r>
    </w:p>
    <w:p>
      <w:pPr>
        <w:spacing w:before="160" w:after="80"/>
        <w:ind w:firstLine="0"/>
        <w:jc w:val="center"/>
      </w:pPr>
      <w:r>
        <w:drawing>
          <wp:inline xmlns:a="http://schemas.openxmlformats.org/drawingml/2006/main" xmlns:pic="http://schemas.openxmlformats.org/drawingml/2006/picture">
            <wp:extent cx="5220000" cy="5485078"/>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220000" cy="5485078"/>
                    </a:xfrm>
                    <a:prstGeom prst="rect"/>
                  </pic:spPr>
                </pic:pic>
              </a:graphicData>
            </a:graphic>
          </wp:inline>
        </w:drawing>
      </w:r>
    </w:p>
    <w:p>
      <w:pPr>
        <w:spacing w:after="240"/>
        <w:ind w:firstLine="0"/>
        <w:jc w:val="center"/>
      </w:pPr>
      <w:r>
        <w:rPr>
          <w:rFonts w:ascii="Times New Roman" w:hAnsi="Times New Roman" w:eastAsia="Times New Roman"/>
          <w:b w:val="0"/>
          <w:i/>
          <w:sz w:val="22"/>
        </w:rPr>
        <w:t>Figure 13 — Tableau de bord de l'agent BBDA</w:t>
      </w:r>
    </w:p>
    <w:p>
      <w:pPr>
        <w:spacing w:before="160" w:after="80"/>
        <w:ind w:firstLine="0"/>
        <w:jc w:val="center"/>
      </w:pPr>
      <w:r>
        <w:drawing>
          <wp:inline xmlns:a="http://schemas.openxmlformats.org/drawingml/2006/main" xmlns:pic="http://schemas.openxmlformats.org/drawingml/2006/picture">
            <wp:extent cx="5220000" cy="326250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14 — Liste des comptes organisateurs sous surveillance</w:t>
      </w:r>
    </w:p>
    <w:p>
      <w:pPr>
        <w:spacing w:before="160" w:after="80"/>
        <w:ind w:firstLine="0"/>
        <w:jc w:val="center"/>
      </w:pPr>
      <w:r>
        <w:drawing>
          <wp:inline xmlns:a="http://schemas.openxmlformats.org/drawingml/2006/main" xmlns:pic="http://schemas.openxmlformats.org/drawingml/2006/picture">
            <wp:extent cx="5220000" cy="3262500"/>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15 — Liste des organisateurs en situation d'arriéré</w:t>
      </w:r>
    </w:p>
    <w:p>
      <w:pPr>
        <w:spacing w:before="160" w:after="80"/>
        <w:ind w:firstLine="0"/>
        <w:jc w:val="center"/>
      </w:pPr>
      <w:r>
        <w:drawing>
          <wp:inline xmlns:a="http://schemas.openxmlformats.org/drawingml/2006/main" xmlns:pic="http://schemas.openxmlformats.org/drawingml/2006/picture">
            <wp:extent cx="5220000" cy="5766469"/>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220000" cy="5766469"/>
                    </a:xfrm>
                    <a:prstGeom prst="rect"/>
                  </pic:spPr>
                </pic:pic>
              </a:graphicData>
            </a:graphic>
          </wp:inline>
        </w:drawing>
      </w:r>
    </w:p>
    <w:p>
      <w:pPr>
        <w:spacing w:after="240"/>
        <w:ind w:firstLine="0"/>
        <w:jc w:val="center"/>
      </w:pPr>
      <w:r>
        <w:rPr>
          <w:rFonts w:ascii="Times New Roman" w:hAnsi="Times New Roman" w:eastAsia="Times New Roman"/>
          <w:b w:val="0"/>
          <w:i/>
          <w:sz w:val="22"/>
        </w:rPr>
        <w:t>Figure 16 — Page de traitement d'une déclaration par l'agent</w:t>
      </w:r>
    </w:p>
    <w:p>
      <w:pPr>
        <w:spacing w:before="160" w:after="80"/>
        <w:ind w:firstLine="0"/>
        <w:jc w:val="center"/>
      </w:pPr>
      <w:r>
        <w:drawing>
          <wp:inline xmlns:a="http://schemas.openxmlformats.org/drawingml/2006/main" xmlns:pic="http://schemas.openxmlformats.org/drawingml/2006/picture">
            <wp:extent cx="5220000" cy="5766469"/>
            <wp:docPr id="21" name="Picture 21"/>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220000" cy="5766469"/>
                    </a:xfrm>
                    <a:prstGeom prst="rect"/>
                  </pic:spPr>
                </pic:pic>
              </a:graphicData>
            </a:graphic>
          </wp:inline>
        </w:drawing>
      </w:r>
    </w:p>
    <w:p>
      <w:pPr>
        <w:spacing w:after="240"/>
        <w:ind w:firstLine="0"/>
        <w:jc w:val="center"/>
      </w:pPr>
      <w:r>
        <w:rPr>
          <w:rFonts w:ascii="Times New Roman" w:hAnsi="Times New Roman" w:eastAsia="Times New Roman"/>
          <w:b w:val="0"/>
          <w:i/>
          <w:sz w:val="22"/>
        </w:rPr>
        <w:t>Figure 17 — Calcul en temps réel du montant total (tarif + redevance)</w:t>
      </w:r>
    </w:p>
    <w:p>
      <w:pPr>
        <w:pStyle w:val="Heading2"/>
        <w:spacing w:line="360" w:lineRule="auto" w:before="240" w:after="200"/>
        <w:ind w:firstLine="0"/>
        <w:jc w:val="left"/>
      </w:pPr>
      <w:r>
        <w:rPr>
          <w:rFonts w:ascii="Times New Roman" w:hAnsi="Times New Roman" w:eastAsia="Times New Roman"/>
          <w:b/>
          <w:i w:val="0"/>
          <w:sz w:val="26"/>
        </w:rPr>
        <w:t>3.7 Confirmation du paiement</w:t>
      </w:r>
    </w:p>
    <w:p>
      <w:pPr>
        <w:spacing w:line="360" w:lineRule="auto" w:after="160" w:before="0"/>
        <w:ind w:firstLine="709"/>
        <w:jc w:val="both"/>
      </w:pPr>
      <w:r>
        <w:rPr>
          <w:rFonts w:ascii="Times New Roman" w:hAnsi="Times New Roman" w:eastAsia="Times New Roman"/>
          <w:b w:val="0"/>
          <w:i w:val="0"/>
          <w:sz w:val="24"/>
        </w:rPr>
        <w:t>Conformément à RM-040, le paiement s'effectue au guichet ; l'agent enregistre ensuite le mode (espèces, chèque, Orange Money) et le caractère intégral ou partiel. Un paiement partiel crée automatiquement un arriéré avec échéance à sept jours (RM-044). Plusieurs versements successifs sont possibles jusqu'à solde zéro (RM-047, RM-048).</w:t>
      </w:r>
    </w:p>
    <w:p>
      <w:pPr>
        <w:spacing w:before="160" w:after="80"/>
        <w:ind w:firstLine="0"/>
        <w:jc w:val="center"/>
      </w:pPr>
      <w:r>
        <w:drawing>
          <wp:inline xmlns:a="http://schemas.openxmlformats.org/drawingml/2006/main" xmlns:pic="http://schemas.openxmlformats.org/drawingml/2006/picture">
            <wp:extent cx="5220000" cy="4253484"/>
            <wp:docPr id="22" name="Picture 22"/>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220000" cy="4253484"/>
                    </a:xfrm>
                    <a:prstGeom prst="rect"/>
                  </pic:spPr>
                </pic:pic>
              </a:graphicData>
            </a:graphic>
          </wp:inline>
        </w:drawing>
      </w:r>
    </w:p>
    <w:p>
      <w:pPr>
        <w:spacing w:after="240"/>
        <w:ind w:firstLine="0"/>
        <w:jc w:val="center"/>
      </w:pPr>
      <w:r>
        <w:rPr>
          <w:rFonts w:ascii="Times New Roman" w:hAnsi="Times New Roman" w:eastAsia="Times New Roman"/>
          <w:b w:val="0"/>
          <w:i/>
          <w:sz w:val="22"/>
        </w:rPr>
        <w:t>Figure 18 — Formulaire de confirmation de paiement (vierge)</w:t>
      </w:r>
    </w:p>
    <w:p>
      <w:pPr>
        <w:spacing w:before="160" w:after="80"/>
        <w:ind w:firstLine="0"/>
        <w:jc w:val="center"/>
      </w:pPr>
      <w:r>
        <w:drawing>
          <wp:inline xmlns:a="http://schemas.openxmlformats.org/drawingml/2006/main" xmlns:pic="http://schemas.openxmlformats.org/drawingml/2006/picture">
            <wp:extent cx="5220000" cy="4253484"/>
            <wp:docPr id="23" name="Picture 23"/>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220000" cy="4253484"/>
                    </a:xfrm>
                    <a:prstGeom prst="rect"/>
                  </pic:spPr>
                </pic:pic>
              </a:graphicData>
            </a:graphic>
          </wp:inline>
        </w:drawing>
      </w:r>
    </w:p>
    <w:p>
      <w:pPr>
        <w:spacing w:after="240"/>
        <w:ind w:firstLine="0"/>
        <w:jc w:val="center"/>
      </w:pPr>
      <w:r>
        <w:rPr>
          <w:rFonts w:ascii="Times New Roman" w:hAnsi="Times New Roman" w:eastAsia="Times New Roman"/>
          <w:b w:val="0"/>
          <w:i/>
          <w:sz w:val="22"/>
        </w:rPr>
        <w:t>Figure 19 — Formulaire de confirmation de paiement rempli (exemple)</w:t>
      </w:r>
    </w:p>
    <w:p>
      <w:pPr>
        <w:spacing w:before="160" w:after="80"/>
        <w:ind w:firstLine="0"/>
        <w:jc w:val="center"/>
      </w:pPr>
      <w:r>
        <w:drawing>
          <wp:inline xmlns:a="http://schemas.openxmlformats.org/drawingml/2006/main" xmlns:pic="http://schemas.openxmlformats.org/drawingml/2006/picture">
            <wp:extent cx="5220000" cy="3446016"/>
            <wp:docPr id="24" name="Picture 24"/>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220000" cy="3446016"/>
                    </a:xfrm>
                    <a:prstGeom prst="rect"/>
                  </pic:spPr>
                </pic:pic>
              </a:graphicData>
            </a:graphic>
          </wp:inline>
        </w:drawing>
      </w:r>
    </w:p>
    <w:p>
      <w:pPr>
        <w:spacing w:after="240"/>
        <w:ind w:firstLine="0"/>
        <w:jc w:val="center"/>
      </w:pPr>
      <w:r>
        <w:rPr>
          <w:rFonts w:ascii="Times New Roman" w:hAnsi="Times New Roman" w:eastAsia="Times New Roman"/>
          <w:b w:val="0"/>
          <w:i/>
          <w:sz w:val="22"/>
        </w:rPr>
        <w:t>Figure 20 — Détail de la déclaration après paiement (quittance délivrée)</w:t>
      </w:r>
    </w:p>
    <w:p>
      <w:pPr>
        <w:pStyle w:val="Heading2"/>
        <w:spacing w:line="360" w:lineRule="auto" w:before="240" w:after="200"/>
        <w:ind w:firstLine="0"/>
        <w:jc w:val="left"/>
      </w:pPr>
      <w:r>
        <w:rPr>
          <w:rFonts w:ascii="Times New Roman" w:hAnsi="Times New Roman" w:eastAsia="Times New Roman"/>
          <w:b/>
          <w:i w:val="0"/>
          <w:sz w:val="26"/>
        </w:rPr>
        <w:t>3.8 Génération automatique de la quittance PDF</w:t>
      </w:r>
    </w:p>
    <w:p>
      <w:pPr>
        <w:spacing w:line="360" w:lineRule="auto" w:after="160" w:before="0"/>
        <w:ind w:firstLine="709"/>
        <w:jc w:val="both"/>
      </w:pPr>
      <w:r>
        <w:rPr>
          <w:rFonts w:ascii="Times New Roman" w:hAnsi="Times New Roman" w:eastAsia="Times New Roman"/>
          <w:b w:val="0"/>
          <w:i w:val="0"/>
          <w:sz w:val="24"/>
        </w:rPr>
        <w:t>Dès que le solde restant est nul, une quittance PDF est générée automatiquement via ReportLab (RM-050 à RM-054). La mise en page reproduit le formulaire physique du BBDA (en-tête, numéro séquentiel, tableau des droits, montant en lettres, signature). Le téléchargement est réservé au propriétaire du dossier.</w:t>
      </w:r>
    </w:p>
    <w:p>
      <w:pPr>
        <w:spacing w:before="160" w:after="80"/>
        <w:ind w:firstLine="0"/>
        <w:jc w:val="center"/>
      </w:pPr>
      <w:r>
        <w:drawing>
          <wp:inline xmlns:a="http://schemas.openxmlformats.org/drawingml/2006/main" xmlns:pic="http://schemas.openxmlformats.org/drawingml/2006/picture">
            <wp:extent cx="5220000" cy="7380756"/>
            <wp:docPr id="25" name="Picture 25"/>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220000" cy="7380756"/>
                    </a:xfrm>
                    <a:prstGeom prst="rect"/>
                  </pic:spPr>
                </pic:pic>
              </a:graphicData>
            </a:graphic>
          </wp:inline>
        </w:drawing>
      </w:r>
    </w:p>
    <w:p>
      <w:pPr>
        <w:spacing w:after="240"/>
        <w:ind w:firstLine="0"/>
        <w:jc w:val="center"/>
      </w:pPr>
      <w:r>
        <w:rPr>
          <w:rFonts w:ascii="Times New Roman" w:hAnsi="Times New Roman" w:eastAsia="Times New Roman"/>
          <w:b w:val="0"/>
          <w:i/>
          <w:sz w:val="22"/>
        </w:rPr>
        <w:t>Figure 21 — Quittance PDF générée automatiquement</w:t>
      </w:r>
    </w:p>
    <w:p>
      <w:pPr>
        <w:spacing w:before="160" w:after="80"/>
        <w:ind w:firstLine="0"/>
        <w:jc w:val="center"/>
      </w:pPr>
      <w:r>
        <w:drawing>
          <wp:inline xmlns:a="http://schemas.openxmlformats.org/drawingml/2006/main" xmlns:pic="http://schemas.openxmlformats.org/drawingml/2006/picture">
            <wp:extent cx="5220000" cy="7380756"/>
            <wp:docPr id="26" name="Picture 26"/>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220000" cy="7380756"/>
                    </a:xfrm>
                    <a:prstGeom prst="rect"/>
                  </pic:spPr>
                </pic:pic>
              </a:graphicData>
            </a:graphic>
          </wp:inline>
        </w:drawing>
      </w:r>
    </w:p>
    <w:p>
      <w:pPr>
        <w:spacing w:after="240"/>
        <w:ind w:firstLine="0"/>
        <w:jc w:val="center"/>
      </w:pPr>
      <w:r>
        <w:rPr>
          <w:rFonts w:ascii="Times New Roman" w:hAnsi="Times New Roman" w:eastAsia="Times New Roman"/>
          <w:b w:val="0"/>
          <w:i/>
          <w:sz w:val="22"/>
        </w:rPr>
        <w:t>Figure 22 — Document illustrant le cas d'un paiement partiel / reste à payer</w:t>
      </w:r>
    </w:p>
    <w:p>
      <w:pPr>
        <w:spacing w:before="160" w:after="80"/>
        <w:ind w:firstLine="0"/>
        <w:jc w:val="center"/>
      </w:pPr>
      <w:r>
        <w:drawing>
          <wp:inline xmlns:a="http://schemas.openxmlformats.org/drawingml/2006/main" xmlns:pic="http://schemas.openxmlformats.org/drawingml/2006/picture">
            <wp:extent cx="5220000" cy="3446016"/>
            <wp:docPr id="27" name="Picture 27"/>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220000" cy="3446016"/>
                    </a:xfrm>
                    <a:prstGeom prst="rect"/>
                  </pic:spPr>
                </pic:pic>
              </a:graphicData>
            </a:graphic>
          </wp:inline>
        </w:drawing>
      </w:r>
    </w:p>
    <w:p>
      <w:pPr>
        <w:spacing w:after="240"/>
        <w:ind w:firstLine="0"/>
        <w:jc w:val="center"/>
      </w:pPr>
      <w:r>
        <w:rPr>
          <w:rFonts w:ascii="Times New Roman" w:hAnsi="Times New Roman" w:eastAsia="Times New Roman"/>
          <w:b w:val="0"/>
          <w:i/>
          <w:sz w:val="22"/>
        </w:rPr>
        <w:t>Figure 23 — Bouton de téléchargement de la quittance (espace organisateur)</w:t>
      </w:r>
    </w:p>
    <w:p>
      <w:pPr>
        <w:spacing w:line="360" w:lineRule="auto" w:after="160" w:before="0"/>
        <w:ind w:firstLine="709"/>
        <w:jc w:val="both"/>
      </w:pPr>
      <w:r>
        <w:rPr>
          <w:rFonts w:ascii="Times New Roman" w:hAnsi="Times New Roman" w:eastAsia="Times New Roman"/>
          <w:b w:val="0"/>
          <w:i w:val="0"/>
          <w:sz w:val="24"/>
        </w:rPr>
        <w:t>La Figure 28 présente une photographie de la quittance papier utilisée comme référence de conception graphique.</w:t>
      </w:r>
    </w:p>
    <w:p>
      <w:pPr>
        <w:ind w:firstLine="0"/>
        <w:jc w:val="center"/>
      </w:pPr>
      <w:r>
        <w:drawing>
          <wp:inline xmlns:a="http://schemas.openxmlformats.org/drawingml/2006/main" xmlns:pic="http://schemas.openxmlformats.org/drawingml/2006/picture">
            <wp:extent cx="3960000" cy="7038900"/>
            <wp:docPr id="28" name="Picture 28"/>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960000" cy="7038900"/>
                    </a:xfrm>
                    <a:prstGeom prst="rect"/>
                  </pic:spPr>
                </pic:pic>
              </a:graphicData>
            </a:graphic>
          </wp:inline>
        </w:drawing>
      </w:r>
    </w:p>
    <w:p>
      <w:pPr>
        <w:ind w:firstLine="0"/>
        <w:jc w:val="center"/>
      </w:pPr>
      <w:r>
        <w:rPr>
          <w:rFonts w:ascii="Times New Roman" w:hAnsi="Times New Roman" w:eastAsia="Times New Roman"/>
          <w:b w:val="0"/>
          <w:i/>
          <w:sz w:val="22"/>
        </w:rPr>
        <w:t>Figure 28 — Quittance papier BBDA (référence terrain photographiée pendant le stage)</w:t>
      </w:r>
    </w:p>
    <w:p>
      <w:pPr>
        <w:spacing w:line="360" w:lineRule="auto" w:after="160" w:before="0"/>
        <w:ind w:firstLine="0"/>
        <w:jc w:val="both"/>
      </w:pPr>
      <w:r>
        <w:rPr>
          <w:rFonts w:ascii="Times New Roman" w:hAnsi="Times New Roman" w:eastAsia="Times New Roman"/>
          <w:b w:val="0"/>
          <w:i/>
          <w:sz w:val="24"/>
        </w:rPr>
        <w:t>Extrait de code — principe de génération PDF (backend/exports/pdf_generator.py) :</w:t>
      </w:r>
    </w:p>
    <w:p>
      <w:pPr>
        <w:spacing w:line="240" w:lineRule="auto" w:after="200"/>
        <w:ind w:firstLine="0"/>
      </w:pPr>
      <w:r>
        <w:rPr>
          <w:rFonts w:ascii="Courier New" w:hAnsi="Courier New" w:eastAsia="Courier New"/>
          <w:sz w:val="16"/>
        </w:rPr>
        <w:t>def _en_tete(c, quittance):</w:t>
        <w:br/>
        <w:t xml:space="preserve">    """EN-TETE 3 colonnes : coordonnees BBDA, logo, encadre 'QUITTANCE'."""</w:t>
        <w:br/>
        <w:t xml:space="preserve">    c.setFont("Helvetica-Bold", 10)</w:t>
        <w:br/>
        <w:t xml:space="preserve">    c.drawString(_x(MARGE), _y(15), "BUREAU BURKINABÈ")</w:t>
        <w:br/>
        <w:t xml:space="preserve">    c.drawString(_x(MARGE), _y(20), "DU DROIT D'AUTEUR")</w:t>
        <w:br/>
        <w:t xml:space="preserve">    # ... logo + cadre numéro de quittance ...</w:t>
      </w:r>
    </w:p>
    <w:p>
      <w:pPr>
        <w:pStyle w:val="Heading2"/>
        <w:spacing w:line="360" w:lineRule="auto" w:before="240" w:after="200"/>
        <w:ind w:firstLine="0"/>
        <w:jc w:val="left"/>
      </w:pPr>
      <w:r>
        <w:rPr>
          <w:rFonts w:ascii="Times New Roman" w:hAnsi="Times New Roman" w:eastAsia="Times New Roman"/>
          <w:b/>
          <w:i w:val="0"/>
          <w:sz w:val="26"/>
        </w:rPr>
        <w:t>3.9 Notifications automatiques par courrier électronique</w:t>
      </w:r>
    </w:p>
    <w:p>
      <w:pPr>
        <w:spacing w:line="360" w:lineRule="auto" w:after="160" w:before="0"/>
        <w:ind w:firstLine="709"/>
        <w:jc w:val="both"/>
      </w:pPr>
      <w:r>
        <w:rPr>
          <w:rFonts w:ascii="Times New Roman" w:hAnsi="Times New Roman" w:eastAsia="Times New Roman"/>
          <w:b w:val="0"/>
          <w:i w:val="0"/>
          <w:sz w:val="24"/>
        </w:rPr>
        <w:t>À chaque étape clé (soumission, montant fixé, quittance disponible, rappel d'arriéré, alerte surveillance), un courriel est consigné en base puis envoyé (SMTP local en développement, SendGrid en production Render). Un échec d'envoi n'interrompt jamais le traitement métier.</w:t>
      </w:r>
    </w:p>
    <w:p>
      <w:pPr>
        <w:spacing w:before="160" w:after="80"/>
        <w:ind w:firstLine="0"/>
        <w:jc w:val="center"/>
      </w:pPr>
      <w:r>
        <w:drawing>
          <wp:inline xmlns:a="http://schemas.openxmlformats.org/drawingml/2006/main" xmlns:pic="http://schemas.openxmlformats.org/drawingml/2006/picture">
            <wp:extent cx="5220000" cy="3750943"/>
            <wp:docPr id="29" name="Picture 29"/>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220000" cy="3750943"/>
                    </a:xfrm>
                    <a:prstGeom prst="rect"/>
                  </pic:spPr>
                </pic:pic>
              </a:graphicData>
            </a:graphic>
          </wp:inline>
        </w:drawing>
      </w:r>
    </w:p>
    <w:p>
      <w:pPr>
        <w:spacing w:after="240"/>
        <w:ind w:firstLine="0"/>
        <w:jc w:val="center"/>
      </w:pPr>
      <w:r>
        <w:rPr>
          <w:rFonts w:ascii="Times New Roman" w:hAnsi="Times New Roman" w:eastAsia="Times New Roman"/>
          <w:b w:val="0"/>
          <w:i/>
          <w:sz w:val="22"/>
        </w:rPr>
        <w:t>Figure 24 — Email automatique envoyé lorsque le montant est fixé</w:t>
      </w:r>
    </w:p>
    <w:p>
      <w:pPr>
        <w:pStyle w:val="Heading2"/>
        <w:spacing w:line="360" w:lineRule="auto" w:before="240" w:after="200"/>
        <w:ind w:firstLine="0"/>
        <w:jc w:val="left"/>
      </w:pPr>
      <w:r>
        <w:rPr>
          <w:rFonts w:ascii="Times New Roman" w:hAnsi="Times New Roman" w:eastAsia="Times New Roman"/>
          <w:b/>
          <w:i w:val="0"/>
          <w:sz w:val="26"/>
        </w:rPr>
        <w:t>3.10 Moteur et interface de gestion des arriérés</w:t>
      </w:r>
    </w:p>
    <w:p>
      <w:pPr>
        <w:spacing w:line="360" w:lineRule="auto" w:after="160" w:before="0"/>
        <w:ind w:firstLine="709"/>
        <w:jc w:val="both"/>
      </w:pPr>
      <w:r>
        <w:rPr>
          <w:rFonts w:ascii="Times New Roman" w:hAnsi="Times New Roman" w:eastAsia="Times New Roman"/>
          <w:b w:val="0"/>
          <w:i w:val="0"/>
          <w:sz w:val="24"/>
        </w:rPr>
        <w:t>Le module backend/arrieres/moteur.py centralise : calcul de l'état d'arriéré, seuil bloquant paramétrable (1 000 FCFA par défaut), échéance à sept jours, rappels espacés d'au moins sept jours, blocage / déblocage, mise sous surveillance et report des arriérés dans le calcul d'exigibilité. L'interface agent permet d'agir sans passer par la base de données.</w:t>
      </w:r>
    </w:p>
    <w:p>
      <w:pPr>
        <w:pStyle w:val="Heading2"/>
        <w:spacing w:line="360" w:lineRule="auto" w:before="240" w:after="200"/>
        <w:ind w:firstLine="0"/>
        <w:jc w:val="left"/>
      </w:pPr>
      <w:r>
        <w:rPr>
          <w:rFonts w:ascii="Times New Roman" w:hAnsi="Times New Roman" w:eastAsia="Times New Roman"/>
          <w:b/>
          <w:i w:val="0"/>
          <w:sz w:val="26"/>
        </w:rPr>
        <w:t>3.11 Espace administrateur et statistiques</w:t>
      </w:r>
    </w:p>
    <w:p>
      <w:pPr>
        <w:spacing w:line="360" w:lineRule="auto" w:after="160" w:before="0"/>
        <w:ind w:firstLine="709"/>
        <w:jc w:val="both"/>
      </w:pPr>
      <w:r>
        <w:rPr>
          <w:rFonts w:ascii="Times New Roman" w:hAnsi="Times New Roman" w:eastAsia="Times New Roman"/>
          <w:b w:val="0"/>
          <w:i w:val="0"/>
          <w:sz w:val="24"/>
        </w:rPr>
        <w:t>L'administrateur dispose d'un tableau de bord, de la gestion des utilisateurs (création d'agents, activation / désactivation), des paramètres système (seuil d'arriéré, délai de rappel) et d'une page de statistiques (déclarations et redevances mensuelles, répartition par type, classement organisateurs).</w:t>
      </w:r>
    </w:p>
    <w:p>
      <w:pPr>
        <w:spacing w:before="160" w:after="80"/>
        <w:ind w:firstLine="0"/>
        <w:jc w:val="center"/>
      </w:pPr>
      <w:r>
        <w:drawing>
          <wp:inline xmlns:a="http://schemas.openxmlformats.org/drawingml/2006/main" xmlns:pic="http://schemas.openxmlformats.org/drawingml/2006/picture">
            <wp:extent cx="5220000" cy="3262500"/>
            <wp:docPr id="30" name="Picture 30"/>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27 — Espace administrateur BBDA Events</w:t>
      </w:r>
    </w:p>
    <w:p>
      <w:pPr>
        <w:pStyle w:val="Heading2"/>
        <w:spacing w:line="360" w:lineRule="auto" w:before="240" w:after="200"/>
        <w:ind w:firstLine="0"/>
        <w:jc w:val="left"/>
      </w:pPr>
      <w:r>
        <w:rPr>
          <w:rFonts w:ascii="Times New Roman" w:hAnsi="Times New Roman" w:eastAsia="Times New Roman"/>
          <w:b/>
          <w:i w:val="0"/>
          <w:sz w:val="26"/>
        </w:rPr>
        <w:t>3.12 Face publique et module de promotion</w:t>
      </w:r>
    </w:p>
    <w:p>
      <w:pPr>
        <w:spacing w:line="360" w:lineRule="auto" w:after="160" w:before="0"/>
        <w:ind w:firstLine="709"/>
        <w:jc w:val="both"/>
      </w:pPr>
      <w:r>
        <w:rPr>
          <w:rFonts w:ascii="Times New Roman" w:hAnsi="Times New Roman" w:eastAsia="Times New Roman"/>
          <w:b w:val="0"/>
          <w:i w:val="0"/>
          <w:sz w:val="24"/>
        </w:rPr>
        <w:t>Sans connexion, le public accède à l'accueil, au listing des événements volontairement promus et déjà quittancés (RM-021), au support (FAQ), au contact et aux pages légales. L'organisateur peut joindre une affiche (JPG/PNG, 2 Mo max) et autoriser l'affichage de ses coordonnées.</w:t>
      </w:r>
    </w:p>
    <w:p>
      <w:pPr>
        <w:spacing w:before="160" w:after="80"/>
        <w:ind w:firstLine="0"/>
        <w:jc w:val="center"/>
      </w:pPr>
      <w:r>
        <w:drawing>
          <wp:inline xmlns:a="http://schemas.openxmlformats.org/drawingml/2006/main" xmlns:pic="http://schemas.openxmlformats.org/drawingml/2006/picture">
            <wp:extent cx="5220000" cy="10839656"/>
            <wp:docPr id="31" name="Picture 31"/>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220000" cy="10839656"/>
                    </a:xfrm>
                    <a:prstGeom prst="rect"/>
                  </pic:spPr>
                </pic:pic>
              </a:graphicData>
            </a:graphic>
          </wp:inline>
        </w:drawing>
      </w:r>
    </w:p>
    <w:p>
      <w:pPr>
        <w:spacing w:after="240"/>
        <w:ind w:firstLine="0"/>
        <w:jc w:val="center"/>
      </w:pPr>
      <w:r>
        <w:rPr>
          <w:rFonts w:ascii="Times New Roman" w:hAnsi="Times New Roman" w:eastAsia="Times New Roman"/>
          <w:b w:val="0"/>
          <w:i/>
          <w:sz w:val="22"/>
        </w:rPr>
        <w:t>Figure 26 — Section « Promotion publique » du formulaire de déclaration</w:t>
      </w:r>
    </w:p>
    <w:p>
      <w:pPr>
        <w:spacing w:before="160" w:after="80"/>
        <w:ind w:firstLine="0"/>
        <w:jc w:val="center"/>
      </w:pPr>
      <w:r>
        <w:drawing>
          <wp:inline xmlns:a="http://schemas.openxmlformats.org/drawingml/2006/main" xmlns:pic="http://schemas.openxmlformats.org/drawingml/2006/picture">
            <wp:extent cx="5220000" cy="4233094"/>
            <wp:docPr id="32" name="Picture 32"/>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220000" cy="4233094"/>
                    </a:xfrm>
                    <a:prstGeom prst="rect"/>
                  </pic:spPr>
                </pic:pic>
              </a:graphicData>
            </a:graphic>
          </wp:inline>
        </w:drawing>
      </w:r>
    </w:p>
    <w:p>
      <w:pPr>
        <w:spacing w:after="240"/>
        <w:ind w:firstLine="0"/>
        <w:jc w:val="center"/>
      </w:pPr>
      <w:r>
        <w:rPr>
          <w:rFonts w:ascii="Times New Roman" w:hAnsi="Times New Roman" w:eastAsia="Times New Roman"/>
          <w:b w:val="0"/>
          <w:i/>
          <w:sz w:val="22"/>
        </w:rPr>
        <w:t>Figure 25 — Page de détail d'un événement sur la face publique</w:t>
      </w:r>
    </w:p>
    <w:p>
      <w:pPr>
        <w:pStyle w:val="Heading2"/>
        <w:spacing w:line="360" w:lineRule="auto" w:before="240" w:after="200"/>
        <w:ind w:firstLine="0"/>
        <w:jc w:val="left"/>
      </w:pPr>
      <w:r>
        <w:rPr>
          <w:rFonts w:ascii="Times New Roman" w:hAnsi="Times New Roman" w:eastAsia="Times New Roman"/>
          <w:b/>
          <w:i w:val="0"/>
          <w:sz w:val="26"/>
        </w:rPr>
        <w:t>3.13 Tests et validation</w:t>
      </w:r>
    </w:p>
    <w:p>
      <w:pPr>
        <w:spacing w:line="360" w:lineRule="auto" w:after="160" w:before="0"/>
        <w:ind w:firstLine="709"/>
        <w:jc w:val="both"/>
      </w:pPr>
      <w:r>
        <w:rPr>
          <w:rFonts w:ascii="Times New Roman" w:hAnsi="Times New Roman" w:eastAsia="Times New Roman"/>
          <w:b w:val="0"/>
          <w:i w:val="0"/>
          <w:sz w:val="24"/>
        </w:rPr>
        <w:t>La validation s'appuie sur une suite pytest croissante au fil des prompts (de l'ordre de 50 tests après la quittance à plus de 100 après la face publique et les tests transverses). Un parcours Playwright vérifie l'enchaînement bout-en-bout : inscription → déclaration → traitement agent → paiement → téléchargement de quittance. Un script demo_data.py recharge un jeu de données pour la soutenance.</w:t>
      </w:r>
    </w:p>
    <w:p>
      <w:pPr>
        <w:pStyle w:val="Heading2"/>
        <w:spacing w:line="360" w:lineRule="auto" w:before="240" w:after="200"/>
        <w:ind w:firstLine="0"/>
        <w:jc w:val="left"/>
      </w:pPr>
      <w:r>
        <w:rPr>
          <w:rFonts w:ascii="Times New Roman" w:hAnsi="Times New Roman" w:eastAsia="Times New Roman"/>
          <w:b/>
          <w:i w:val="0"/>
          <w:sz w:val="26"/>
        </w:rPr>
        <w:t>3.14 Analyse des résultats / Discussion</w:t>
      </w:r>
    </w:p>
    <w:p>
      <w:pPr>
        <w:spacing w:line="360" w:lineRule="auto" w:after="160" w:before="0"/>
        <w:ind w:firstLine="709"/>
        <w:jc w:val="both"/>
      </w:pPr>
      <w:r>
        <w:rPr>
          <w:rFonts w:ascii="Times New Roman" w:hAnsi="Times New Roman" w:eastAsia="Times New Roman"/>
          <w:b w:val="0"/>
          <w:i w:val="0"/>
          <w:sz w:val="24"/>
        </w:rPr>
        <w:t>Au regard de l'objectif général, la plateforme couvre l'intégralité du circuit cible : déclaration, évaluation, paiement guichet, quittance, notifications, arriérés et promotion conditionnelle. Par rapport au processus papier, les gains attendus portent sur : (i) la suppression des déplacements pour la seule phase de déclaration ; (ii) la traçabilité des statuts et de l'historique ; (iii) l'automatisation des documents et des alertes ; (iv) le pilotage des impayés. Ces gains sont démontrés qualitativement par l'artefact et les tests ; une mesure chronométrée avant/après sur un échantillon réel de dossiers DEPAJ n'a pas encore été formalisée. [À COMPLÉTER SI POSSIBLE avec 5–10 dossiers anonymisés : délai moyen papier vs plateforme.]</w:t>
      </w:r>
    </w:p>
    <w:p>
      <w:pPr>
        <w:pStyle w:val="Heading2"/>
        <w:spacing w:line="360" w:lineRule="auto" w:before="240" w:after="200"/>
        <w:ind w:firstLine="0"/>
        <w:jc w:val="left"/>
      </w:pPr>
      <w:r>
        <w:rPr>
          <w:rFonts w:ascii="Times New Roman" w:hAnsi="Times New Roman" w:eastAsia="Times New Roman"/>
          <w:b/>
          <w:i w:val="0"/>
          <w:sz w:val="26"/>
        </w:rPr>
        <w:t>3.15 Critiques et suggestions</w:t>
      </w:r>
    </w:p>
    <w:p>
      <w:pPr>
        <w:spacing w:line="360" w:lineRule="auto" w:after="160" w:before="0"/>
        <w:ind w:firstLine="0"/>
        <w:jc w:val="both"/>
      </w:pPr>
      <w:r>
        <w:rPr>
          <w:rFonts w:ascii="Times New Roman" w:hAnsi="Times New Roman" w:eastAsia="Times New Roman"/>
          <w:b w:val="0"/>
          <w:i w:val="0"/>
          <w:sz w:val="24"/>
        </w:rPr>
        <w:t>Limites du prototype :</w:t>
      </w:r>
    </w:p>
    <w:p>
      <w:pPr>
        <w:spacing w:line="360" w:lineRule="auto" w:after="160" w:before="0"/>
        <w:ind w:firstLine="0"/>
        <w:jc w:val="both"/>
      </w:pPr>
      <w:r>
        <w:rPr>
          <w:rFonts w:ascii="Times New Roman" w:hAnsi="Times New Roman" w:eastAsia="Times New Roman"/>
          <w:b w:val="0"/>
          <w:i w:val="0"/>
          <w:sz w:val="24"/>
        </w:rPr>
        <w:t>— Absence de paiement en ligne (choix volontaire RM-040, aligné sur le guichet BBDA).</w:t>
      </w:r>
    </w:p>
    <w:p>
      <w:pPr>
        <w:spacing w:line="360" w:lineRule="auto" w:after="160" w:before="0"/>
        <w:ind w:firstLine="0"/>
        <w:jc w:val="both"/>
      </w:pPr>
      <w:r>
        <w:rPr>
          <w:rFonts w:ascii="Times New Roman" w:hAnsi="Times New Roman" w:eastAsia="Times New Roman"/>
          <w:b w:val="0"/>
          <w:i w:val="0"/>
          <w:sz w:val="24"/>
        </w:rPr>
        <w:t>— Billetterie annoncée hors périmètre (page placeholder).</w:t>
      </w:r>
    </w:p>
    <w:p>
      <w:pPr>
        <w:spacing w:line="360" w:lineRule="auto" w:after="160" w:before="0"/>
        <w:ind w:firstLine="0"/>
        <w:jc w:val="both"/>
      </w:pPr>
      <w:r>
        <w:rPr>
          <w:rFonts w:ascii="Times New Roman" w:hAnsi="Times New Roman" w:eastAsia="Times New Roman"/>
          <w:b w:val="0"/>
          <w:i w:val="0"/>
          <w:sz w:val="24"/>
        </w:rPr>
        <w:t>— Stockage des PDF sur disque serveur : sur Render, régénération à la demande si le fichier éphémère disparaît.</w:t>
      </w:r>
    </w:p>
    <w:p>
      <w:pPr>
        <w:spacing w:line="360" w:lineRule="auto" w:after="160" w:before="0"/>
        <w:ind w:firstLine="0"/>
        <w:jc w:val="both"/>
      </w:pPr>
      <w:r>
        <w:rPr>
          <w:rFonts w:ascii="Times New Roman" w:hAnsi="Times New Roman" w:eastAsia="Times New Roman"/>
          <w:b w:val="0"/>
          <w:i w:val="0"/>
          <w:sz w:val="24"/>
        </w:rPr>
        <w:t>— WhatsApp non implémenté (API payante).</w:t>
      </w:r>
    </w:p>
    <w:p>
      <w:pPr>
        <w:spacing w:line="360" w:lineRule="auto" w:after="160" w:before="0"/>
        <w:ind w:firstLine="709"/>
        <w:jc w:val="both"/>
      </w:pPr>
      <w:r>
        <w:rPr>
          <w:rFonts w:ascii="Times New Roman" w:hAnsi="Times New Roman" w:eastAsia="Times New Roman"/>
          <w:b w:val="0"/>
          <w:i w:val="0"/>
          <w:sz w:val="24"/>
        </w:rPr>
        <w:t>Suggestions : intégrer un moyen de paiement mobile money en ligne ; coupler BBDA Events à B-GEOLOC / à la plateforme œuvres ; mener un pilote DEPAJ sur une saison culturelle avec indicateurs de délai et de taux de recouvrement.</w:t>
      </w:r>
    </w:p>
    <w:p>
      <w:pPr>
        <w:pStyle w:val="Heading2"/>
        <w:spacing w:line="360" w:lineRule="auto" w:before="240" w:after="200"/>
        <w:ind w:firstLine="0"/>
        <w:jc w:val="left"/>
      </w:pPr>
      <w:r>
        <w:rPr>
          <w:rFonts w:ascii="Times New Roman" w:hAnsi="Times New Roman" w:eastAsia="Times New Roman"/>
          <w:b/>
          <w:i w:val="0"/>
          <w:sz w:val="26"/>
        </w:rPr>
        <w:t>3.16 Bilan du stage</w:t>
      </w:r>
    </w:p>
    <w:p>
      <w:pPr>
        <w:spacing w:line="360" w:lineRule="auto" w:after="160" w:before="0"/>
        <w:ind w:firstLine="709"/>
        <w:jc w:val="both"/>
      </w:pPr>
      <w:r>
        <w:rPr>
          <w:rFonts w:ascii="Times New Roman" w:hAnsi="Times New Roman" w:eastAsia="Times New Roman"/>
          <w:b w:val="0"/>
          <w:i w:val="0"/>
          <w:sz w:val="24"/>
        </w:rPr>
        <w:t>Le stage a permis de conduire un projet informatique complet : du besoin métier à un produit déployé, testé et documenté. Les compétences mobilisées couvrent l'analyse, la modélisation relationnelle, le développement full-stack léger, les tests et le déploiement cloud. [À COMPLÉTER : ressenti personnel, difficultés rencontrées, apports professionnels concrets.]</w:t>
      </w:r>
    </w:p>
    <w:p>
      <w:r>
        <w:br w:type="page"/>
      </w:r>
    </w:p>
    <w:p>
      <w:pPr>
        <w:pStyle w:val="Title"/>
        <w:spacing w:line="360" w:lineRule="auto" w:before="360" w:after="200"/>
        <w:ind w:firstLine="0"/>
        <w:jc w:val="center"/>
      </w:pPr>
      <w:r>
        <w:rPr>
          <w:rFonts w:ascii="Times New Roman" w:hAnsi="Times New Roman" w:eastAsia="Times New Roman"/>
          <w:b/>
          <w:i w:val="0"/>
          <w:sz w:val="32"/>
        </w:rPr>
        <w:t>CONCLUSION GÉNÉRALE</w:t>
      </w:r>
    </w:p>
    <w:p>
      <w:pPr>
        <w:spacing w:line="360" w:lineRule="auto" w:after="160" w:before="0"/>
        <w:ind w:firstLine="709"/>
        <w:jc w:val="both"/>
      </w:pPr>
      <w:r>
        <w:rPr>
          <w:rFonts w:ascii="Times New Roman" w:hAnsi="Times New Roman" w:eastAsia="Times New Roman"/>
          <w:b w:val="0"/>
          <w:i w:val="0"/>
          <w:sz w:val="24"/>
        </w:rPr>
        <w:t>L'objectif général de ce mémoire était de concevoir et développer une plateforme web permettant au BBDA de gérer les déclarations d'événements culturels occasionnels de la saisie organisateur jusqu'à la quittance, avec suivi des paiements, arriérés et notifications.</w:t>
      </w:r>
    </w:p>
    <w:p>
      <w:pPr>
        <w:spacing w:line="360" w:lineRule="auto" w:after="160" w:before="0"/>
        <w:ind w:firstLine="709"/>
        <w:jc w:val="both"/>
      </w:pPr>
      <w:r>
        <w:rPr>
          <w:rFonts w:ascii="Times New Roman" w:hAnsi="Times New Roman" w:eastAsia="Times New Roman"/>
          <w:b w:val="0"/>
          <w:i w:val="0"/>
          <w:sz w:val="24"/>
        </w:rPr>
        <w:t>Principaux résultats. Tous les objectifs spécifiques opérationnels ont été atteints : analyse du processus, formalisation des règles, architecture MVC Flask, modules déclaration / agent / admin / public, emails, moteur d'arriérés, quittance PDF, tests et déploiement. La plateforme BBDA Events est accessible publiquement pour démonstration.</w:t>
      </w:r>
    </w:p>
    <w:p>
      <w:pPr>
        <w:spacing w:line="360" w:lineRule="auto" w:after="160" w:before="0"/>
        <w:ind w:firstLine="709"/>
        <w:jc w:val="both"/>
      </w:pPr>
      <w:r>
        <w:rPr>
          <w:rFonts w:ascii="Times New Roman" w:hAnsi="Times New Roman" w:eastAsia="Times New Roman"/>
          <w:b w:val="0"/>
          <w:i w:val="0"/>
          <w:sz w:val="24"/>
        </w:rPr>
        <w:t>Confrontation à H1. La dématérialisation implémentée réduit le nombre d'étapes manuelles (plus de fiche papier à ressaisir, quittance et notifications automatiques, tableaux de bord). En l'absence d'une mesure chronométrée officielle avant/après sur dossiers réels, H1 est considérée comme partiellement confirmée sur le plan fonctionnel et qualitative, et reste à quantifier empiriquement avec la DEPAJ.</w:t>
      </w:r>
    </w:p>
    <w:p>
      <w:pPr>
        <w:spacing w:line="360" w:lineRule="auto" w:after="160" w:before="0"/>
        <w:ind w:firstLine="709"/>
        <w:jc w:val="both"/>
      </w:pPr>
      <w:r>
        <w:rPr>
          <w:rFonts w:ascii="Times New Roman" w:hAnsi="Times New Roman" w:eastAsia="Times New Roman"/>
          <w:b w:val="0"/>
          <w:i w:val="0"/>
          <w:sz w:val="24"/>
        </w:rPr>
        <w:t>Confrontation à H2. Les mécanismes de seuil bloquant, de rappels, de surveillance et de report d'arriérés sur les dossiers suivants sont effectivement en place et testés. H2 est donc confirmée sur le plan des dispositifs techniques de recouvrement ; l'impact financier réel (baisse des pertes) dépendra de l'appropriation par les agents et du volume traité en production.</w:t>
      </w:r>
    </w:p>
    <w:p>
      <w:pPr>
        <w:spacing w:line="360" w:lineRule="auto" w:after="160" w:before="0"/>
        <w:ind w:firstLine="709"/>
        <w:jc w:val="both"/>
      </w:pPr>
      <w:r>
        <w:rPr>
          <w:rFonts w:ascii="Times New Roman" w:hAnsi="Times New Roman" w:eastAsia="Times New Roman"/>
          <w:b w:val="0"/>
          <w:i w:val="0"/>
          <w:sz w:val="24"/>
        </w:rPr>
        <w:t>Apports. Sur le plan pratique, le BBDA dispose d'un prototype opérationnel couvrant un processus jusque-là non numérisé. Sur le plan académique, le travail illustre une démarche de recherche appliquée en informatique : problématisation, hypothèses, conception, réalisation, tests et discussion des limites.</w:t>
      </w:r>
    </w:p>
    <w:p>
      <w:pPr>
        <w:spacing w:line="360" w:lineRule="auto" w:after="160" w:before="0"/>
        <w:ind w:firstLine="709"/>
        <w:jc w:val="both"/>
      </w:pPr>
      <w:r>
        <w:rPr>
          <w:rFonts w:ascii="Times New Roman" w:hAnsi="Times New Roman" w:eastAsia="Times New Roman"/>
          <w:b w:val="0"/>
          <w:i w:val="0"/>
          <w:sz w:val="24"/>
        </w:rPr>
        <w:t>Limites. Limites théoriques (revue académique encore perfectible), empiriques (peu de mesures quantitatives de performance) et méthodologiques (UML formels incomplets, échantillon d'observation limité au service d'accueil).</w:t>
      </w:r>
    </w:p>
    <w:p>
      <w:pPr>
        <w:spacing w:line="360" w:lineRule="auto" w:after="160" w:before="0"/>
        <w:ind w:firstLine="709"/>
        <w:jc w:val="both"/>
      </w:pPr>
      <w:r>
        <w:rPr>
          <w:rFonts w:ascii="Times New Roman" w:hAnsi="Times New Roman" w:eastAsia="Times New Roman"/>
          <w:b w:val="0"/>
          <w:i w:val="0"/>
          <w:sz w:val="24"/>
        </w:rPr>
        <w:t>Perspectives. Paiement en ligne sécurisé ; notifications WhatsApp ; billetterie ; interopérabilité avec les outils 2025 du BBDA ; industrialisation (sauvegardes, supervision) ; étude d'impact après mise en production pilote.</w:t>
      </w:r>
    </w:p>
    <w:p>
      <w:r>
        <w:br w:type="page"/>
      </w:r>
    </w:p>
    <w:p>
      <w:pPr>
        <w:pStyle w:val="Title"/>
        <w:spacing w:line="360" w:lineRule="auto" w:before="360" w:after="200"/>
        <w:ind w:firstLine="0"/>
        <w:jc w:val="center"/>
      </w:pPr>
      <w:r>
        <w:rPr>
          <w:rFonts w:ascii="Times New Roman" w:hAnsi="Times New Roman" w:eastAsia="Times New Roman"/>
          <w:b/>
          <w:i w:val="0"/>
          <w:sz w:val="32"/>
        </w:rPr>
        <w:t>RÉFÉRENCES BIBLIOGRAPHIQUES</w:t>
      </w:r>
    </w:p>
    <w:p>
      <w:pPr>
        <w:spacing w:line="360" w:lineRule="auto" w:after="160" w:before="0"/>
        <w:ind w:firstLine="0"/>
        <w:jc w:val="both"/>
      </w:pPr>
      <w:r>
        <w:rPr>
          <w:rFonts w:ascii="Times New Roman" w:hAnsi="Times New Roman" w:eastAsia="Times New Roman"/>
          <w:b w:val="0"/>
          <w:i/>
          <w:sz w:val="24"/>
        </w:rPr>
        <w:t>Les références sont regroupées en ouvrages / documents, articles et sites internet, par ordre alphabétique du premier auteur ou de l'organisme.</w:t>
      </w:r>
    </w:p>
    <w:p>
      <w:pPr>
        <w:pStyle w:val="Heading2"/>
        <w:spacing w:line="360" w:lineRule="auto" w:before="240" w:after="200"/>
        <w:ind w:firstLine="0"/>
        <w:jc w:val="left"/>
      </w:pPr>
      <w:r>
        <w:rPr>
          <w:rFonts w:ascii="Times New Roman" w:hAnsi="Times New Roman" w:eastAsia="Times New Roman"/>
          <w:b/>
          <w:i w:val="0"/>
          <w:sz w:val="26"/>
        </w:rPr>
        <w:t>Ouvrages, mémoires, rapports et documents institutionnels</w:t>
      </w:r>
    </w:p>
    <w:p>
      <w:pPr>
        <w:spacing w:line="360" w:lineRule="auto" w:after="120" w:before="0"/>
        <w:ind w:firstLine="0"/>
        <w:jc w:val="both"/>
      </w:pPr>
      <w:r>
        <w:rPr>
          <w:rFonts w:ascii="Times New Roman" w:hAnsi="Times New Roman" w:eastAsia="Times New Roman"/>
          <w:b w:val="0"/>
          <w:i w:val="0"/>
          <w:sz w:val="24"/>
        </w:rPr>
        <w:t>Bureau Burkinabè du Droit d'Auteur (2025-2026). Protocole de stage — Conception et développement d'une plateforme web de gestion des déclarations… Mémoire de fin d'études en Licence. BBDA / Université Aube Nouvelle, Ouagadougou.</w:t>
      </w:r>
    </w:p>
    <w:p>
      <w:pPr>
        <w:spacing w:line="360" w:lineRule="auto" w:after="120" w:before="0"/>
        <w:ind w:firstLine="0"/>
        <w:jc w:val="both"/>
      </w:pPr>
      <w:r>
        <w:rPr>
          <w:rFonts w:ascii="Times New Roman" w:hAnsi="Times New Roman" w:eastAsia="Times New Roman"/>
          <w:b w:val="0"/>
          <w:i w:val="0"/>
          <w:sz w:val="24"/>
        </w:rPr>
        <w:t>Bureau Burkinabè du Droit d'Auteur (s.d.). Cahier des charges BBDA Events, V2. Document interne, Ouagadougou.</w:t>
      </w:r>
    </w:p>
    <w:p>
      <w:pPr>
        <w:spacing w:line="360" w:lineRule="auto" w:after="120" w:before="0"/>
        <w:ind w:firstLine="0"/>
        <w:jc w:val="both"/>
      </w:pPr>
      <w:r>
        <w:rPr>
          <w:rFonts w:ascii="Times New Roman" w:hAnsi="Times New Roman" w:eastAsia="Times New Roman"/>
          <w:b w:val="0"/>
          <w:i w:val="0"/>
          <w:sz w:val="24"/>
        </w:rPr>
        <w:t>Bureau Burkinabè du Droit d'Auteur (s.d.). Guide complet de développement BBDA Events, V2. Document interne, Ouagadougou.</w:t>
      </w:r>
    </w:p>
    <w:p>
      <w:pPr>
        <w:spacing w:line="360" w:lineRule="auto" w:after="120" w:before="0"/>
        <w:ind w:firstLine="0"/>
        <w:jc w:val="both"/>
      </w:pPr>
      <w:r>
        <w:rPr>
          <w:rFonts w:ascii="Times New Roman" w:hAnsi="Times New Roman" w:eastAsia="Times New Roman"/>
          <w:b w:val="0"/>
          <w:i w:val="0"/>
          <w:sz w:val="24"/>
        </w:rPr>
        <w:t>Bureau Burkinabè du Droit d'Auteur / OMPI (2011). Guide pratique pour les utilisateurs d'œuvres protégées (éd. révisée). WIPO Lex.</w:t>
      </w:r>
    </w:p>
    <w:p>
      <w:pPr>
        <w:spacing w:line="360" w:lineRule="auto" w:after="120" w:before="0"/>
        <w:ind w:firstLine="0"/>
        <w:jc w:val="both"/>
      </w:pPr>
      <w:r>
        <w:rPr>
          <w:rFonts w:ascii="Times New Roman" w:hAnsi="Times New Roman" w:eastAsia="Times New Roman"/>
          <w:b w:val="0"/>
          <w:i w:val="0"/>
          <w:sz w:val="24"/>
        </w:rPr>
        <w:t>Burkina Faso (2000). Arrêté n° 01-053/MAC/SG/BBDA du 20 mars 2000 relatif aux règles de perception. WIPO Lex.</w:t>
      </w:r>
    </w:p>
    <w:p>
      <w:pPr>
        <w:spacing w:line="360" w:lineRule="auto" w:after="120" w:before="0"/>
        <w:ind w:firstLine="0"/>
        <w:jc w:val="both"/>
      </w:pPr>
      <w:r>
        <w:rPr>
          <w:rFonts w:ascii="Times New Roman" w:hAnsi="Times New Roman" w:eastAsia="Times New Roman"/>
          <w:b w:val="0"/>
          <w:i w:val="0"/>
          <w:sz w:val="24"/>
        </w:rPr>
        <w:t>Burkina Faso (2019). Loi n° 048-2019/AN du 12 novembre 2019 portant protection de la propriété littéraire et artistique. WIPO Lex.</w:t>
      </w:r>
    </w:p>
    <w:p>
      <w:pPr>
        <w:spacing w:line="360" w:lineRule="auto" w:after="120" w:before="0"/>
        <w:ind w:firstLine="0"/>
        <w:jc w:val="both"/>
      </w:pPr>
      <w:r>
        <w:rPr>
          <w:rFonts w:ascii="Times New Roman" w:hAnsi="Times New Roman" w:eastAsia="Times New Roman"/>
          <w:b w:val="0"/>
          <w:i w:val="0"/>
          <w:sz w:val="24"/>
        </w:rPr>
        <w:t>Université Aube Nouvelle (2026). Initiation à la méthodologie de recherche — Cours de rédaction scientifique. Licence 3, Tronc commun, janvier 2026.</w:t>
      </w:r>
    </w:p>
    <w:p>
      <w:pPr>
        <w:pStyle w:val="Heading2"/>
        <w:spacing w:line="360" w:lineRule="auto" w:before="240" w:after="200"/>
        <w:ind w:firstLine="0"/>
        <w:jc w:val="left"/>
      </w:pPr>
      <w:r>
        <w:rPr>
          <w:rFonts w:ascii="Times New Roman" w:hAnsi="Times New Roman" w:eastAsia="Times New Roman"/>
          <w:b/>
          <w:i w:val="0"/>
          <w:sz w:val="26"/>
        </w:rPr>
        <w:t>Articles de presse et contributions</w:t>
      </w:r>
    </w:p>
    <w:p>
      <w:pPr>
        <w:spacing w:line="360" w:lineRule="auto" w:after="120" w:before="0"/>
        <w:ind w:firstLine="0"/>
        <w:jc w:val="both"/>
      </w:pPr>
      <w:r>
        <w:rPr>
          <w:rFonts w:ascii="Times New Roman" w:hAnsi="Times New Roman" w:eastAsia="Times New Roman"/>
          <w:b w:val="0"/>
          <w:i w:val="0"/>
          <w:sz w:val="24"/>
        </w:rPr>
        <w:t>Burkina24 (2022, 30 mai). BBDA : une cagnotte de plus de 700 millions à répartir à partir du 31 mai 2022. Burkina24.</w:t>
      </w:r>
    </w:p>
    <w:p>
      <w:pPr>
        <w:spacing w:line="360" w:lineRule="auto" w:after="120" w:before="0"/>
        <w:ind w:firstLine="0"/>
        <w:jc w:val="both"/>
      </w:pPr>
      <w:r>
        <w:rPr>
          <w:rFonts w:ascii="Times New Roman" w:hAnsi="Times New Roman" w:eastAsia="Times New Roman"/>
          <w:b w:val="0"/>
          <w:i w:val="0"/>
          <w:sz w:val="24"/>
        </w:rPr>
        <w:t>Digital Magazine Burkina (2025, 28 avril). Le BBDA digitalise la gestion des droits d'auteur… avec B-GEOLOC et sa plateforme numérique. Digital Magazine Burkina.</w:t>
      </w:r>
    </w:p>
    <w:p>
      <w:pPr>
        <w:spacing w:line="360" w:lineRule="auto" w:after="120" w:before="0"/>
        <w:ind w:firstLine="0"/>
        <w:jc w:val="both"/>
      </w:pPr>
      <w:r>
        <w:rPr>
          <w:rFonts w:ascii="Times New Roman" w:hAnsi="Times New Roman" w:eastAsia="Times New Roman"/>
          <w:b w:val="0"/>
          <w:i w:val="0"/>
          <w:sz w:val="24"/>
        </w:rPr>
        <w:t>Kulture Kibaré (2020, 20 juillet). Propriété littéraire et artistique : la nouvelle loi 048 et ses innovations intéressantes. Kulture Kibaré.</w:t>
      </w:r>
    </w:p>
    <w:p>
      <w:pPr>
        <w:spacing w:line="360" w:lineRule="auto" w:after="120" w:before="0"/>
        <w:ind w:firstLine="0"/>
        <w:jc w:val="both"/>
      </w:pPr>
      <w:r>
        <w:rPr>
          <w:rFonts w:ascii="Times New Roman" w:hAnsi="Times New Roman" w:eastAsia="Times New Roman"/>
          <w:b w:val="0"/>
          <w:i w:val="0"/>
          <w:sz w:val="24"/>
        </w:rPr>
        <w:t>Kulture Kibaré (2022, 15 juin). Droits d'auteur : comprendre le fonctionnement des séances occasionnelles. Kulture Kibaré.</w:t>
      </w:r>
    </w:p>
    <w:p>
      <w:pPr>
        <w:spacing w:line="360" w:lineRule="auto" w:after="120" w:before="0"/>
        <w:ind w:firstLine="0"/>
        <w:jc w:val="both"/>
      </w:pPr>
      <w:r>
        <w:rPr>
          <w:rFonts w:ascii="Times New Roman" w:hAnsi="Times New Roman" w:eastAsia="Times New Roman"/>
          <w:b w:val="0"/>
          <w:i w:val="0"/>
          <w:sz w:val="24"/>
        </w:rPr>
        <w:t>leFaso.net (2025, 24 avril). Le BBDA lance officiellement sa plateforme numérique d'adhésion et de déclaration d'œuvres. leFaso.net.</w:t>
      </w:r>
    </w:p>
    <w:p>
      <w:pPr>
        <w:spacing w:line="360" w:lineRule="auto" w:after="120" w:before="0"/>
        <w:ind w:firstLine="0"/>
        <w:jc w:val="both"/>
      </w:pPr>
      <w:r>
        <w:rPr>
          <w:rFonts w:ascii="Times New Roman" w:hAnsi="Times New Roman" w:eastAsia="Times New Roman"/>
          <w:b w:val="0"/>
          <w:i w:val="0"/>
          <w:sz w:val="24"/>
        </w:rPr>
        <w:t>Sawadogo P. F. (2020, 6 novembre). BBDA : Le processus de collecte des droits de la séance occasionnelle. Infos Culture du Faso.</w:t>
      </w:r>
    </w:p>
    <w:p>
      <w:pPr>
        <w:spacing w:line="360" w:lineRule="auto" w:after="120" w:before="0"/>
        <w:ind w:firstLine="0"/>
        <w:jc w:val="both"/>
      </w:pPr>
      <w:r>
        <w:rPr>
          <w:rFonts w:ascii="Times New Roman" w:hAnsi="Times New Roman" w:eastAsia="Times New Roman"/>
          <w:b w:val="0"/>
          <w:i w:val="0"/>
          <w:sz w:val="24"/>
        </w:rPr>
        <w:t>Sidwaya (2024). Droits d'auteur au Burkina : une cagnotte de 397 885 753 FCFA pour 7 307 bénéficiaires. Sidwaya.info.</w:t>
      </w:r>
    </w:p>
    <w:p>
      <w:pPr>
        <w:pStyle w:val="Heading2"/>
        <w:spacing w:line="360" w:lineRule="auto" w:before="240" w:after="200"/>
        <w:ind w:firstLine="0"/>
        <w:jc w:val="left"/>
      </w:pPr>
      <w:r>
        <w:rPr>
          <w:rFonts w:ascii="Times New Roman" w:hAnsi="Times New Roman" w:eastAsia="Times New Roman"/>
          <w:b/>
          <w:i w:val="0"/>
          <w:sz w:val="26"/>
        </w:rPr>
        <w:t>Sites internet</w:t>
      </w:r>
    </w:p>
    <w:p>
      <w:pPr>
        <w:spacing w:line="360" w:lineRule="auto" w:after="120" w:before="0"/>
        <w:ind w:firstLine="0"/>
        <w:jc w:val="both"/>
      </w:pPr>
      <w:r>
        <w:rPr>
          <w:rFonts w:ascii="Times New Roman" w:hAnsi="Times New Roman" w:eastAsia="Times New Roman"/>
          <w:b w:val="0"/>
          <w:i w:val="0"/>
          <w:sz w:val="24"/>
        </w:rPr>
        <w:t>https://bbda.bf/ (site officiel du BBDA) — consulté en juillet 2026.</w:t>
      </w:r>
    </w:p>
    <w:p>
      <w:pPr>
        <w:spacing w:line="360" w:lineRule="auto" w:after="120" w:before="0"/>
        <w:ind w:firstLine="0"/>
        <w:jc w:val="both"/>
      </w:pPr>
      <w:r>
        <w:rPr>
          <w:rFonts w:ascii="Times New Roman" w:hAnsi="Times New Roman" w:eastAsia="Times New Roman"/>
          <w:b w:val="0"/>
          <w:i w:val="0"/>
          <w:sz w:val="24"/>
        </w:rPr>
        <w:t>https://bbda-events.onrender.com (plateforme BBDA Events développée dans le cadre du stage) — consulté en juillet 2026.</w:t>
      </w:r>
    </w:p>
    <w:p>
      <w:pPr>
        <w:spacing w:line="360" w:lineRule="auto" w:after="120" w:before="0"/>
        <w:ind w:firstLine="0"/>
        <w:jc w:val="both"/>
      </w:pPr>
      <w:r>
        <w:rPr>
          <w:rFonts w:ascii="Times New Roman" w:hAnsi="Times New Roman" w:eastAsia="Times New Roman"/>
          <w:b w:val="0"/>
          <w:i w:val="0"/>
          <w:sz w:val="24"/>
        </w:rPr>
        <w:t>https://www.wipo.int/wipolex/fr/legislation/details/19510 (Loi 048-2019/AN) — consulté en juillet 2026.</w:t>
      </w:r>
    </w:p>
    <w:p>
      <w:pPr>
        <w:spacing w:line="360" w:lineRule="auto" w:after="120" w:before="0"/>
        <w:ind w:firstLine="0"/>
        <w:jc w:val="both"/>
      </w:pPr>
      <w:r>
        <w:rPr>
          <w:rFonts w:ascii="Times New Roman" w:hAnsi="Times New Roman" w:eastAsia="Times New Roman"/>
          <w:b w:val="0"/>
          <w:i w:val="0"/>
          <w:sz w:val="24"/>
        </w:rPr>
        <w:t>https://www.wipo.int/wipolex/en/legislation/details/6362 (Arrêté 01-053/2000) — consulté en juillet 2026.</w:t>
      </w:r>
    </w:p>
    <w:p>
      <w:pPr>
        <w:spacing w:line="360" w:lineRule="auto" w:after="120" w:before="0"/>
        <w:ind w:firstLine="0"/>
        <w:jc w:val="both"/>
      </w:pPr>
      <w:r>
        <w:rPr>
          <w:rFonts w:ascii="Times New Roman" w:hAnsi="Times New Roman" w:eastAsia="Times New Roman"/>
          <w:b w:val="0"/>
          <w:i w:val="0"/>
          <w:sz w:val="24"/>
        </w:rPr>
        <w:t>https://sodav.sn/utilisateur/ (SODAV — utilisateurs / séances occasionnelles) — consulté en juillet 2026.</w:t>
      </w:r>
    </w:p>
    <w:p>
      <w:pPr>
        <w:spacing w:line="360" w:lineRule="auto" w:after="120" w:before="0"/>
        <w:ind w:firstLine="0"/>
        <w:jc w:val="both"/>
      </w:pPr>
      <w:r>
        <w:rPr>
          <w:rFonts w:ascii="Times New Roman" w:hAnsi="Times New Roman" w:eastAsia="Times New Roman"/>
          <w:b w:val="0"/>
          <w:i w:val="0"/>
          <w:sz w:val="24"/>
        </w:rPr>
        <w:t>https://clients.sacem.fr/ (SACEM — autorisations spectacles) — consulté en juillet 2026.</w:t>
      </w:r>
    </w:p>
    <w:p>
      <w:pPr>
        <w:spacing w:line="360" w:lineRule="auto" w:after="120" w:before="0"/>
        <w:ind w:firstLine="0"/>
        <w:jc w:val="both"/>
      </w:pPr>
      <w:r>
        <w:rPr>
          <w:rFonts w:ascii="Times New Roman" w:hAnsi="Times New Roman" w:eastAsia="Times New Roman"/>
          <w:b w:val="0"/>
          <w:i w:val="0"/>
          <w:sz w:val="24"/>
        </w:rPr>
        <w:t>https://www.samro.org.za/user (SAMRO — music users) — consulté en juillet 2026.</w:t>
      </w:r>
    </w:p>
    <w:p>
      <w:pPr>
        <w:spacing w:line="360" w:lineRule="auto" w:after="120" w:before="0"/>
        <w:ind w:firstLine="0"/>
        <w:jc w:val="both"/>
      </w:pPr>
      <w:r>
        <w:rPr>
          <w:rFonts w:ascii="Times New Roman" w:hAnsi="Times New Roman" w:eastAsia="Times New Roman"/>
          <w:b w:val="0"/>
          <w:i w:val="0"/>
          <w:sz w:val="24"/>
        </w:rPr>
        <w:t>https://fr.wikipedia.org/wiki/Bureau_burkinabè_des_droits_d'auteurs — consulté en juillet 2026. [À remplacer de préférence par une source primaire BBDA.]</w:t>
      </w:r>
    </w:p>
    <w:p>
      <w:r>
        <w:br w:type="page"/>
      </w:r>
    </w:p>
    <w:p>
      <w:pPr>
        <w:pStyle w:val="Title"/>
        <w:spacing w:line="360" w:lineRule="auto" w:before="360" w:after="200"/>
        <w:ind w:firstLine="0"/>
        <w:jc w:val="center"/>
      </w:pPr>
      <w:r>
        <w:rPr>
          <w:rFonts w:ascii="Times New Roman" w:hAnsi="Times New Roman" w:eastAsia="Times New Roman"/>
          <w:b/>
          <w:i w:val="0"/>
          <w:sz w:val="32"/>
        </w:rPr>
        <w:t>ANNEXES</w:t>
      </w:r>
    </w:p>
    <w:p>
      <w:pPr>
        <w:spacing w:line="360" w:lineRule="auto" w:after="160" w:before="0"/>
        <w:ind w:firstLine="0"/>
        <w:jc w:val="both"/>
      </w:pPr>
      <w:r>
        <w:rPr>
          <w:rFonts w:ascii="Times New Roman" w:hAnsi="Times New Roman" w:eastAsia="Times New Roman"/>
          <w:b w:val="0"/>
          <w:i w:val="0"/>
          <w:sz w:val="24"/>
        </w:rPr>
        <w:t>Plan des annexes (pagination romaine à appliquer en mise en forme finale) :</w:t>
      </w:r>
    </w:p>
    <w:p>
      <w:pPr>
        <w:spacing w:line="360" w:lineRule="auto" w:after="160" w:before="0"/>
        <w:ind w:firstLine="0"/>
        <w:jc w:val="both"/>
      </w:pPr>
      <w:r>
        <w:rPr>
          <w:rFonts w:ascii="Times New Roman" w:hAnsi="Times New Roman" w:eastAsia="Times New Roman"/>
          <w:b w:val="0"/>
          <w:i w:val="0"/>
          <w:sz w:val="24"/>
        </w:rPr>
        <w:t>Annexe I — Photographies de la quittance papier BBDA (référence)</w:t>
      </w:r>
    </w:p>
    <w:p>
      <w:pPr>
        <w:spacing w:line="360" w:lineRule="auto" w:after="160" w:before="0"/>
        <w:ind w:firstLine="0"/>
        <w:jc w:val="both"/>
      </w:pPr>
      <w:r>
        <w:rPr>
          <w:rFonts w:ascii="Times New Roman" w:hAnsi="Times New Roman" w:eastAsia="Times New Roman"/>
          <w:b w:val="0"/>
          <w:i w:val="0"/>
          <w:sz w:val="24"/>
        </w:rPr>
        <w:t>Annexe II — Captures d'écran complémentaires</w:t>
      </w:r>
    </w:p>
    <w:p>
      <w:pPr>
        <w:spacing w:line="360" w:lineRule="auto" w:after="160" w:before="0"/>
        <w:ind w:firstLine="0"/>
        <w:jc w:val="both"/>
      </w:pPr>
      <w:r>
        <w:rPr>
          <w:rFonts w:ascii="Times New Roman" w:hAnsi="Times New Roman" w:eastAsia="Times New Roman"/>
          <w:b w:val="0"/>
          <w:i w:val="0"/>
          <w:sz w:val="24"/>
        </w:rPr>
        <w:t>Annexe III — Extraits de code significatifs</w:t>
      </w:r>
    </w:p>
    <w:p>
      <w:pPr>
        <w:spacing w:line="360" w:lineRule="auto" w:after="160" w:before="0"/>
        <w:ind w:firstLine="0"/>
        <w:jc w:val="both"/>
      </w:pPr>
      <w:r>
        <w:rPr>
          <w:rFonts w:ascii="Times New Roman" w:hAnsi="Times New Roman" w:eastAsia="Times New Roman"/>
          <w:b w:val="0"/>
          <w:i w:val="0"/>
          <w:sz w:val="24"/>
        </w:rPr>
        <w:t>Annexe IV — Schéma de base de données</w:t>
      </w:r>
    </w:p>
    <w:p>
      <w:pPr>
        <w:spacing w:line="360" w:lineRule="auto" w:after="160" w:before="0"/>
        <w:ind w:firstLine="0"/>
        <w:jc w:val="both"/>
      </w:pPr>
      <w:r>
        <w:rPr>
          <w:rFonts w:ascii="Times New Roman" w:hAnsi="Times New Roman" w:eastAsia="Times New Roman"/>
          <w:b w:val="0"/>
          <w:i w:val="0"/>
          <w:sz w:val="24"/>
        </w:rPr>
        <w:t>Annexe V — Liste des règles métier (renvoi au fichier REGLES_METIER.md)</w:t>
      </w:r>
    </w:p>
    <w:p>
      <w:pPr>
        <w:spacing w:line="360" w:lineRule="auto" w:after="160" w:before="0"/>
        <w:ind w:firstLine="0"/>
        <w:jc w:val="both"/>
      </w:pPr>
      <w:r>
        <w:rPr>
          <w:rFonts w:ascii="Times New Roman" w:hAnsi="Times New Roman" w:eastAsia="Times New Roman"/>
          <w:b w:val="0"/>
          <w:i w:val="0"/>
          <w:sz w:val="24"/>
        </w:rPr>
        <w:t>Annexe VI — Diagrammes UML (séquence et reprise)</w:t>
      </w:r>
    </w:p>
    <w:p>
      <w:pPr>
        <w:spacing w:line="360" w:lineRule="auto" w:after="160" w:before="0"/>
        <w:ind w:firstLine="0"/>
        <w:jc w:val="both"/>
      </w:pPr>
      <w:r>
        <w:rPr>
          <w:rFonts w:ascii="Times New Roman" w:hAnsi="Times New Roman" w:eastAsia="Times New Roman"/>
          <w:b w:val="0"/>
          <w:i w:val="0"/>
          <w:sz w:val="24"/>
        </w:rPr>
        <w:t>Annexe VII — [À COMPLÉTER] Scans fiches papier déclaration / évaluation</w:t>
      </w:r>
    </w:p>
    <w:p>
      <w:pPr>
        <w:pStyle w:val="Heading2"/>
        <w:spacing w:line="360" w:lineRule="auto" w:before="240" w:after="200"/>
        <w:ind w:firstLine="0"/>
        <w:jc w:val="left"/>
      </w:pPr>
      <w:r>
        <w:rPr>
          <w:rFonts w:ascii="Times New Roman" w:hAnsi="Times New Roman" w:eastAsia="Times New Roman"/>
          <w:b/>
          <w:i w:val="0"/>
          <w:sz w:val="26"/>
        </w:rPr>
        <w:t>Annexe I — Photographies de la quittance papier</w:t>
      </w:r>
    </w:p>
    <w:p>
      <w:pPr>
        <w:ind w:firstLine="0"/>
        <w:jc w:val="center"/>
      </w:pPr>
      <w:r>
        <w:drawing>
          <wp:inline xmlns:a="http://schemas.openxmlformats.org/drawingml/2006/main" xmlns:pic="http://schemas.openxmlformats.org/drawingml/2006/picture">
            <wp:extent cx="3780000" cy="6718950"/>
            <wp:docPr id="33" name="Picture 33"/>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780000" cy="6718950"/>
                    </a:xfrm>
                    <a:prstGeom prst="rect"/>
                  </pic:spPr>
                </pic:pic>
              </a:graphicData>
            </a:graphic>
          </wp:inline>
        </w:drawing>
      </w:r>
    </w:p>
    <w:p>
      <w:pPr>
        <w:ind w:firstLine="0"/>
        <w:jc w:val="center"/>
      </w:pPr>
      <w:r>
        <w:rPr>
          <w:rFonts w:ascii="Times New Roman" w:hAnsi="Times New Roman" w:eastAsia="Times New Roman"/>
          <w:b w:val="0"/>
          <w:i/>
          <w:sz w:val="22"/>
        </w:rPr>
        <w:t>Figure 28 — Quittance / document papier BBDA — cliché 1</w:t>
      </w:r>
    </w:p>
    <w:p>
      <w:pPr>
        <w:ind w:firstLine="0"/>
        <w:jc w:val="center"/>
      </w:pPr>
      <w:r>
        <w:drawing>
          <wp:inline xmlns:a="http://schemas.openxmlformats.org/drawingml/2006/main" xmlns:pic="http://schemas.openxmlformats.org/drawingml/2006/picture">
            <wp:extent cx="3780000" cy="6718950"/>
            <wp:docPr id="34" name="Picture 34"/>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780000" cy="6718950"/>
                    </a:xfrm>
                    <a:prstGeom prst="rect"/>
                  </pic:spPr>
                </pic:pic>
              </a:graphicData>
            </a:graphic>
          </wp:inline>
        </w:drawing>
      </w:r>
    </w:p>
    <w:p>
      <w:pPr>
        <w:ind w:firstLine="0"/>
        <w:jc w:val="center"/>
      </w:pPr>
      <w:r>
        <w:rPr>
          <w:rFonts w:ascii="Times New Roman" w:hAnsi="Times New Roman" w:eastAsia="Times New Roman"/>
          <w:b w:val="0"/>
          <w:i/>
          <w:sz w:val="22"/>
        </w:rPr>
        <w:t>Figure 29 — Quittance / document papier BBDA — cliché 2</w:t>
      </w:r>
    </w:p>
    <w:p>
      <w:pPr>
        <w:ind w:firstLine="0"/>
        <w:jc w:val="center"/>
      </w:pPr>
      <w:r>
        <w:drawing>
          <wp:inline xmlns:a="http://schemas.openxmlformats.org/drawingml/2006/main" xmlns:pic="http://schemas.openxmlformats.org/drawingml/2006/picture">
            <wp:extent cx="3780000" cy="6718950"/>
            <wp:docPr id="35" name="Picture 35"/>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780000" cy="6718950"/>
                    </a:xfrm>
                    <a:prstGeom prst="rect"/>
                  </pic:spPr>
                </pic:pic>
              </a:graphicData>
            </a:graphic>
          </wp:inline>
        </w:drawing>
      </w:r>
    </w:p>
    <w:p>
      <w:pPr>
        <w:ind w:firstLine="0"/>
        <w:jc w:val="center"/>
      </w:pPr>
      <w:r>
        <w:rPr>
          <w:rFonts w:ascii="Times New Roman" w:hAnsi="Times New Roman" w:eastAsia="Times New Roman"/>
          <w:b w:val="0"/>
          <w:i/>
          <w:sz w:val="22"/>
        </w:rPr>
        <w:t>Figure 30 — Quittance / document papier BBDA — cliché 3</w:t>
      </w:r>
    </w:p>
    <w:p>
      <w:pPr>
        <w:pStyle w:val="Heading2"/>
        <w:spacing w:line="360" w:lineRule="auto" w:before="240" w:after="200"/>
        <w:ind w:firstLine="0"/>
        <w:jc w:val="left"/>
      </w:pPr>
      <w:r>
        <w:rPr>
          <w:rFonts w:ascii="Times New Roman" w:hAnsi="Times New Roman" w:eastAsia="Times New Roman"/>
          <w:b/>
          <w:i w:val="0"/>
          <w:sz w:val="26"/>
        </w:rPr>
        <w:t>Annexe II — Captures complémentaires</w:t>
      </w:r>
    </w:p>
    <w:p>
      <w:pPr>
        <w:spacing w:before="160" w:after="80"/>
        <w:ind w:firstLine="0"/>
        <w:jc w:val="center"/>
      </w:pPr>
      <w:r>
        <w:drawing>
          <wp:inline xmlns:a="http://schemas.openxmlformats.org/drawingml/2006/main" xmlns:pic="http://schemas.openxmlformats.org/drawingml/2006/picture">
            <wp:extent cx="5220000" cy="3262500"/>
            <wp:docPr id="36" name="Picture 3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100 — Espace organisateur (vue alternative)</w:t>
      </w:r>
    </w:p>
    <w:p>
      <w:pPr>
        <w:spacing w:before="160" w:after="80"/>
        <w:ind w:firstLine="0"/>
        <w:jc w:val="center"/>
      </w:pPr>
      <w:r>
        <w:drawing>
          <wp:inline xmlns:a="http://schemas.openxmlformats.org/drawingml/2006/main" xmlns:pic="http://schemas.openxmlformats.org/drawingml/2006/picture">
            <wp:extent cx="5220000" cy="5485078"/>
            <wp:docPr id="37" name="Picture 3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220000" cy="5485078"/>
                    </a:xfrm>
                    <a:prstGeom prst="rect"/>
                  </pic:spPr>
                </pic:pic>
              </a:graphicData>
            </a:graphic>
          </wp:inline>
        </w:drawing>
      </w:r>
    </w:p>
    <w:p>
      <w:pPr>
        <w:spacing w:after="240"/>
        <w:ind w:firstLine="0"/>
        <w:jc w:val="center"/>
      </w:pPr>
      <w:r>
        <w:rPr>
          <w:rFonts w:ascii="Times New Roman" w:hAnsi="Times New Roman" w:eastAsia="Times New Roman"/>
          <w:b w:val="0"/>
          <w:i/>
          <w:sz w:val="22"/>
        </w:rPr>
        <w:t>Figure 100 — Espace agent (vue alternative)</w:t>
      </w:r>
    </w:p>
    <w:p>
      <w:pPr>
        <w:spacing w:before="160" w:after="80"/>
        <w:ind w:firstLine="0"/>
        <w:jc w:val="center"/>
      </w:pPr>
      <w:r>
        <w:drawing>
          <wp:inline xmlns:a="http://schemas.openxmlformats.org/drawingml/2006/main" xmlns:pic="http://schemas.openxmlformats.org/drawingml/2006/picture">
            <wp:extent cx="5220000" cy="3262500"/>
            <wp:docPr id="38" name="Picture 3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220000" cy="3262500"/>
                    </a:xfrm>
                    <a:prstGeom prst="rect"/>
                  </pic:spPr>
                </pic:pic>
              </a:graphicData>
            </a:graphic>
          </wp:inline>
        </w:drawing>
      </w:r>
    </w:p>
    <w:p>
      <w:pPr>
        <w:spacing w:after="240"/>
        <w:ind w:firstLine="0"/>
        <w:jc w:val="center"/>
      </w:pPr>
      <w:r>
        <w:rPr>
          <w:rFonts w:ascii="Times New Roman" w:hAnsi="Times New Roman" w:eastAsia="Times New Roman"/>
          <w:b w:val="0"/>
          <w:i/>
          <w:sz w:val="22"/>
        </w:rPr>
        <w:t>Figure 100 — Confirmation après soumission</w:t>
      </w:r>
    </w:p>
    <w:p>
      <w:pPr>
        <w:spacing w:before="160" w:after="80"/>
        <w:ind w:firstLine="0"/>
        <w:jc w:val="center"/>
      </w:pPr>
      <w:r>
        <w:drawing>
          <wp:inline xmlns:a="http://schemas.openxmlformats.org/drawingml/2006/main" xmlns:pic="http://schemas.openxmlformats.org/drawingml/2006/picture">
            <wp:extent cx="5220000" cy="5485078"/>
            <wp:docPr id="39" name="Picture 39"/>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220000" cy="5485078"/>
                    </a:xfrm>
                    <a:prstGeom prst="rect"/>
                  </pic:spPr>
                </pic:pic>
              </a:graphicData>
            </a:graphic>
          </wp:inline>
        </w:drawing>
      </w:r>
    </w:p>
    <w:p>
      <w:pPr>
        <w:spacing w:after="240"/>
        <w:ind w:firstLine="0"/>
        <w:jc w:val="center"/>
      </w:pPr>
      <w:r>
        <w:rPr>
          <w:rFonts w:ascii="Times New Roman" w:hAnsi="Times New Roman" w:eastAsia="Times New Roman"/>
          <w:b w:val="0"/>
          <w:i/>
          <w:sz w:val="22"/>
        </w:rPr>
        <w:t>Figure 100 — Dashboard agent après fixation du montant</w:t>
      </w:r>
    </w:p>
    <w:p>
      <w:pPr>
        <w:spacing w:before="160" w:after="80"/>
        <w:ind w:firstLine="0"/>
        <w:jc w:val="center"/>
      </w:pPr>
      <w:r>
        <w:drawing>
          <wp:inline xmlns:a="http://schemas.openxmlformats.org/drawingml/2006/main" xmlns:pic="http://schemas.openxmlformats.org/drawingml/2006/picture">
            <wp:extent cx="5220000" cy="5485078"/>
            <wp:docPr id="40" name="Picture 40"/>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220000" cy="5485078"/>
                    </a:xfrm>
                    <a:prstGeom prst="rect"/>
                  </pic:spPr>
                </pic:pic>
              </a:graphicData>
            </a:graphic>
          </wp:inline>
        </w:drawing>
      </w:r>
    </w:p>
    <w:p>
      <w:pPr>
        <w:spacing w:after="240"/>
        <w:ind w:firstLine="0"/>
        <w:jc w:val="center"/>
      </w:pPr>
      <w:r>
        <w:rPr>
          <w:rFonts w:ascii="Times New Roman" w:hAnsi="Times New Roman" w:eastAsia="Times New Roman"/>
          <w:b w:val="0"/>
          <w:i/>
          <w:sz w:val="22"/>
        </w:rPr>
        <w:t>Figure 100 — Dashboard agent après paiement</w:t>
      </w:r>
    </w:p>
    <w:p>
      <w:pPr>
        <w:pStyle w:val="Heading2"/>
        <w:spacing w:line="360" w:lineRule="auto" w:before="240" w:after="200"/>
        <w:ind w:firstLine="0"/>
        <w:jc w:val="left"/>
      </w:pPr>
      <w:r>
        <w:rPr>
          <w:rFonts w:ascii="Times New Roman" w:hAnsi="Times New Roman" w:eastAsia="Times New Roman"/>
          <w:b/>
          <w:i w:val="0"/>
          <w:sz w:val="26"/>
        </w:rPr>
        <w:t>Annexe III — Extrait de code (quittance)</w:t>
      </w:r>
    </w:p>
    <w:p>
      <w:pPr>
        <w:spacing w:line="360" w:lineRule="auto" w:after="80" w:before="0"/>
        <w:ind w:firstLine="0"/>
        <w:jc w:val="both"/>
      </w:pPr>
      <w:r>
        <w:rPr>
          <w:rFonts w:ascii="Times New Roman" w:hAnsi="Times New Roman" w:eastAsia="Times New Roman"/>
          <w:b w:val="0"/>
          <w:i/>
          <w:sz w:val="24"/>
        </w:rPr>
        <w:t>Extrait de pdf_generator.py (en-tête de quittance)</w:t>
      </w:r>
    </w:p>
    <w:p>
      <w:pPr>
        <w:spacing w:line="240" w:lineRule="auto" w:after="200"/>
        <w:ind w:firstLine="0"/>
      </w:pPr>
      <w:r>
        <w:rPr>
          <w:rFonts w:ascii="Courier New" w:hAnsi="Courier New" w:eastAsia="Courier New"/>
          <w:sz w:val="16"/>
        </w:rPr>
        <w:t xml:space="preserve">    """EN-TETE 3 colonnes : coordonnees BBDA, logo, encadre 'QUITTANCE'."""</w:t>
        <w:br/>
        <w:t xml:space="preserve">    c.setFont("Helvetica-Bold", 10)</w:t>
        <w:br/>
        <w:t xml:space="preserve">    c.drawString(_x(MARGE), _y(15), "BUREAU BURKINABÈ")</w:t>
        <w:br/>
        <w:t xml:space="preserve">    c.drawString(_x(MARGE), _y(20), "DU DROIT D'AUTEUR")</w:t>
        <w:br/>
        <w:t xml:space="preserve">    c.setFont("Helvetica", 7.5)</w:t>
        <w:br/>
        <w:t xml:space="preserve">    c.drawString(_x(MARGE), _y(27), "01 B.P. 3926 Ouagadougou 01")</w:t>
        <w:br/>
        <w:t xml:space="preserve">    c.drawString(_x(MARGE), _y(32), "Tél : (+226) 25 32 47 50 / 25 30 22 23")</w:t>
        <w:br/>
        <w:t xml:space="preserve">    c.drawString(_x(MARGE), _y(37), "Fax : +226 25 30 06 82")</w:t>
        <w:br/>
        <w:br/>
        <w:t xml:space="preserve">    if os.path.exists(CHEMIN_LOGO):</w:t>
        <w:br/>
        <w:t xml:space="preserve">        largeur_logo, hauteur_logo = 46, 33</w:t>
        <w:br/>
        <w:t xml:space="preserve">        x_logo = LARGEUR_PAGE_MM / 2 - largeur_logo / 2</w:t>
        <w:br/>
        <w:t xml:space="preserve">        c.drawImage(</w:t>
        <w:br/>
        <w:t xml:space="preserve">            CHEMIN_LOGO,</w:t>
        <w:br/>
        <w:t xml:space="preserve">            _x(x_logo),</w:t>
        <w:br/>
        <w:t xml:space="preserve">            _y(42),</w:t>
        <w:br/>
        <w:t xml:space="preserve">            width=largeur_logo * mm,</w:t>
        <w:br/>
        <w:t xml:space="preserve">            height=hauteur_logo * mm,</w:t>
        <w:br/>
        <w:t xml:space="preserve">            preserveAspectRatio=True,</w:t>
        <w:br/>
        <w:t xml:space="preserve">            mask="auto",</w:t>
        <w:br/>
        <w:t xml:space="preserve">        )</w:t>
        <w:br/>
        <w:br/>
        <w:t xml:space="preserve">    largeur_encadre, hauteur_encadre = 48, 26</w:t>
        <w:br/>
        <w:t xml:space="preserve">    x_encadre = LARGEUR_PAGE_MM - MARGE - largeur_encadre</w:t>
        <w:br/>
        <w:t xml:space="preserve">    c.setLineWidth(0.8)</w:t>
        <w:br/>
        <w:t xml:space="preserve">    c.rect(_x(x_encadre), _y(13 + hauteur_encadre), largeur_encadre * mm, hauteur_encadre * mm)</w:t>
        <w:br/>
        <w:t xml:space="preserve">    c.setFont("Helvetica-Bold", 11)</w:t>
        <w:br/>
        <w:t xml:space="preserve">    c.drawCentredString(_x(x_encadre + largeur_encadre / 2), _y(19), "QUITTANCE N° 1")</w:t>
        <w:br/>
        <w:t xml:space="preserve">    c.setFont("Helvetica", 9)</w:t>
        <w:br/>
        <w:t xml:space="preserve">    c.drawCentredString(_x(x_encadre + largeur_encadre / 2), _y(25), "OUAGADOUGOU")</w:t>
        <w:br/>
        <w:t xml:space="preserve">    c.setFont("Helvetica-Bold", 10)</w:t>
        <w:br/>
        <w:t xml:space="preserve">    c.drawCentredString(_x(x_encadre + largeur_encadre / 2), _y(34), f"N° {quittance.numero_quittance}")</w:t>
        <w:br/>
        <w:br/>
        <w:br/>
        <w:t>def _corps(c, quittance, declaration):</w:t>
        <w:br/>
        <w:t xml:space="preserve">    """Champs 'Delivree a', adresse, telephone... avec lignes de points."""</w:t>
        <w:br/>
        <w:t xml:space="preserve">    depuis_haut = 55</w:t>
        <w:br/>
        <w:t xml:space="preserve">    c.setFont("Helvetica", 9)</w:t>
      </w:r>
    </w:p>
    <w:p>
      <w:pPr>
        <w:pStyle w:val="Heading2"/>
        <w:spacing w:line="360" w:lineRule="auto" w:before="240" w:after="200"/>
        <w:ind w:firstLine="0"/>
        <w:jc w:val="left"/>
      </w:pPr>
      <w:r>
        <w:rPr>
          <w:rFonts w:ascii="Times New Roman" w:hAnsi="Times New Roman" w:eastAsia="Times New Roman"/>
          <w:b/>
          <w:i w:val="0"/>
          <w:sz w:val="26"/>
        </w:rPr>
        <w:t>Annexe IV — Schéma de base de données</w:t>
      </w:r>
    </w:p>
    <w:p>
      <w:pPr>
        <w:spacing w:line="360" w:lineRule="auto" w:after="160" w:before="0"/>
        <w:ind w:firstLine="0"/>
        <w:jc w:val="both"/>
      </w:pPr>
      <w:r>
        <w:rPr>
          <w:rFonts w:ascii="Times New Roman" w:hAnsi="Times New Roman" w:eastAsia="Times New Roman"/>
          <w:b w:val="0"/>
          <w:i/>
          <w:sz w:val="24"/>
        </w:rPr>
        <w:t>Le fichier memoire/database/schema_diagram.pdf contient le diagramme relationnel. Le script SQL schema.sql décrit les tables. Le détail narratif et technique figure dans DATABASE_SCHEMA.md. [Insérer manuellement le PDF schema_diagram.pdf si besoin : Insertion &gt; Objet.]</w:t>
      </w:r>
    </w:p>
    <w:p>
      <w:pPr>
        <w:pStyle w:val="Heading2"/>
        <w:spacing w:line="360" w:lineRule="auto" w:before="240" w:after="200"/>
        <w:ind w:firstLine="0"/>
        <w:jc w:val="left"/>
      </w:pPr>
      <w:r>
        <w:rPr>
          <w:rFonts w:ascii="Times New Roman" w:hAnsi="Times New Roman" w:eastAsia="Times New Roman"/>
          <w:b/>
          <w:i w:val="0"/>
          <w:sz w:val="26"/>
        </w:rPr>
        <w:t>Annexe VI — Diagrammes UML (séquence et reprise)</w:t>
      </w:r>
    </w:p>
    <w:p>
      <w:pPr>
        <w:spacing w:line="360" w:lineRule="auto" w:after="160" w:before="0"/>
        <w:ind w:firstLine="0"/>
        <w:jc w:val="both"/>
      </w:pPr>
      <w:r>
        <w:rPr>
          <w:rFonts w:ascii="Times New Roman" w:hAnsi="Times New Roman" w:eastAsia="Times New Roman"/>
          <w:b w:val="0"/>
          <w:i w:val="0"/>
          <w:sz w:val="24"/>
        </w:rPr>
        <w:t>Les diagrammes de séquence détaillent deux parcours critiques. L'ensemble des sources (.mmd) et images (.png) est disponible dans memoire/docs/diagrammes/.</w:t>
      </w:r>
    </w:p>
    <w:p>
      <w:pPr>
        <w:ind w:firstLine="0"/>
        <w:jc w:val="center"/>
      </w:pPr>
      <w:r>
        <w:drawing>
          <wp:inline xmlns:a="http://schemas.openxmlformats.org/drawingml/2006/main" xmlns:pic="http://schemas.openxmlformats.org/drawingml/2006/picture">
            <wp:extent cx="4860000" cy="3781517"/>
            <wp:docPr id="41" name="Picture 41"/>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860000" cy="3781517"/>
                    </a:xfrm>
                    <a:prstGeom prst="rect"/>
                  </pic:spPr>
                </pic:pic>
              </a:graphicData>
            </a:graphic>
          </wp:inline>
        </w:drawing>
      </w:r>
    </w:p>
    <w:p>
      <w:pPr>
        <w:ind w:firstLine="0"/>
        <w:jc w:val="center"/>
      </w:pPr>
      <w:r>
        <w:rPr>
          <w:rFonts w:ascii="Times New Roman" w:hAnsi="Times New Roman" w:eastAsia="Times New Roman"/>
          <w:b w:val="0"/>
          <w:i/>
          <w:sz w:val="22"/>
        </w:rPr>
        <w:t>Figure 34 — Diagramme de séquence — inscription et déclaration d'événement</w:t>
      </w:r>
    </w:p>
    <w:p>
      <w:pPr>
        <w:ind w:firstLine="0"/>
        <w:jc w:val="center"/>
      </w:pPr>
      <w:r>
        <w:drawing>
          <wp:inline xmlns:a="http://schemas.openxmlformats.org/drawingml/2006/main" xmlns:pic="http://schemas.openxmlformats.org/drawingml/2006/picture">
            <wp:extent cx="4860000" cy="4518708"/>
            <wp:docPr id="42" name="Picture 42"/>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860000" cy="4518708"/>
                    </a:xfrm>
                    <a:prstGeom prst="rect"/>
                  </pic:spPr>
                </pic:pic>
              </a:graphicData>
            </a:graphic>
          </wp:inline>
        </w:drawing>
      </w:r>
    </w:p>
    <w:p>
      <w:pPr>
        <w:ind w:firstLine="0"/>
        <w:jc w:val="center"/>
      </w:pPr>
      <w:r>
        <w:rPr>
          <w:rFonts w:ascii="Times New Roman" w:hAnsi="Times New Roman" w:eastAsia="Times New Roman"/>
          <w:b w:val="0"/>
          <w:i/>
          <w:sz w:val="22"/>
        </w:rPr>
        <w:t>Figure 35 — Diagramme de séquence — évaluation, paiement et quittance</w:t>
      </w:r>
    </w:p>
    <w:p>
      <w:pPr>
        <w:spacing w:line="360" w:lineRule="auto" w:after="160" w:before="0"/>
        <w:ind w:firstLine="0"/>
        <w:jc w:val="both"/>
      </w:pPr>
      <w:r>
        <w:rPr>
          <w:rFonts w:ascii="Times New Roman" w:hAnsi="Times New Roman" w:eastAsia="Times New Roman"/>
          <w:b w:val="0"/>
          <w:i/>
          <w:sz w:val="24"/>
        </w:rPr>
        <w:t>Pour la soutenance, les six diagrammes du dossier diagrammes/ peuvent être projetés séparément (cas d'utilisation, classes, deux séquences, activité, déploiement).</w:t>
      </w:r>
    </w:p>
    <w:p>
      <w:r>
        <w:br w:type="page"/>
      </w:r>
    </w:p>
    <w:p>
      <w:pPr>
        <w:pStyle w:val="Title"/>
        <w:spacing w:line="360" w:lineRule="auto" w:before="360" w:after="200"/>
        <w:ind w:firstLine="0"/>
        <w:jc w:val="center"/>
      </w:pPr>
      <w:r>
        <w:rPr>
          <w:rFonts w:ascii="Times New Roman" w:hAnsi="Times New Roman" w:eastAsia="Times New Roman"/>
          <w:b/>
          <w:i w:val="0"/>
          <w:sz w:val="32"/>
        </w:rPr>
        <w:t>ANNEXE FINALE — POINTS À COMPLÉTER / VÉRIFIER / CORRIGER</w:t>
      </w:r>
    </w:p>
    <w:p>
      <w:pPr>
        <w:spacing w:line="360" w:lineRule="auto" w:after="160" w:before="0"/>
        <w:ind w:firstLine="0"/>
        <w:jc w:val="both"/>
      </w:pPr>
      <w:r>
        <w:rPr>
          <w:rFonts w:ascii="Times New Roman" w:hAnsi="Times New Roman" w:eastAsia="Times New Roman"/>
          <w:b w:val="0"/>
          <w:i/>
          <w:sz w:val="24"/>
        </w:rPr>
        <w:t>Cette section liste explicitement ce que l'étudiant doit compléter, vérifier auprès du BBDA / de l'université, ou remplacer par une information personnelle. Les passages équivalents déjà rédigés dans le corps du texte sont des propositions de même nature (à valider).</w:t>
      </w:r>
    </w:p>
    <w:p>
      <w:pPr>
        <w:spacing w:line="360" w:lineRule="auto" w:after="80" w:before="0"/>
        <w:ind w:firstLine="0"/>
        <w:jc w:val="both"/>
      </w:pPr>
      <w:r>
        <w:rPr>
          <w:rFonts w:ascii="Times New Roman" w:hAnsi="Times New Roman" w:eastAsia="Times New Roman"/>
          <w:b w:val="0"/>
          <w:i w:val="0"/>
          <w:sz w:val="24"/>
        </w:rPr>
        <w:t>1. Page de garde : coller le modèle officiel U-AUBEN si différent ; logo établissement.</w:t>
      </w:r>
    </w:p>
    <w:p>
      <w:pPr>
        <w:spacing w:line="360" w:lineRule="auto" w:after="80" w:before="0"/>
        <w:ind w:firstLine="0"/>
        <w:jc w:val="both"/>
      </w:pPr>
      <w:r>
        <w:rPr>
          <w:rFonts w:ascii="Times New Roman" w:hAnsi="Times New Roman" w:eastAsia="Times New Roman"/>
          <w:b w:val="0"/>
          <w:i w:val="0"/>
          <w:sz w:val="24"/>
        </w:rPr>
        <w:t>2. Directeur de mémoire : nom, grade, signature.</w:t>
      </w:r>
    </w:p>
    <w:p>
      <w:pPr>
        <w:spacing w:line="360" w:lineRule="auto" w:after="80" w:before="0"/>
        <w:ind w:firstLine="0"/>
        <w:jc w:val="both"/>
      </w:pPr>
      <w:r>
        <w:rPr>
          <w:rFonts w:ascii="Times New Roman" w:hAnsi="Times New Roman" w:eastAsia="Times New Roman"/>
          <w:b w:val="0"/>
          <w:i w:val="0"/>
          <w:sz w:val="24"/>
        </w:rPr>
        <w:t>3. Maître de stage : nom, fonction exacte à la DEPAJ / BBDA.</w:t>
      </w:r>
    </w:p>
    <w:p>
      <w:pPr>
        <w:spacing w:line="360" w:lineRule="auto" w:after="80" w:before="0"/>
        <w:ind w:firstLine="0"/>
        <w:jc w:val="both"/>
      </w:pPr>
      <w:r>
        <w:rPr>
          <w:rFonts w:ascii="Times New Roman" w:hAnsi="Times New Roman" w:eastAsia="Times New Roman"/>
          <w:b w:val="0"/>
          <w:i w:val="0"/>
          <w:sz w:val="24"/>
        </w:rPr>
        <w:t>4. Dédicace : personnaliser le texte proposé.</w:t>
      </w:r>
    </w:p>
    <w:p>
      <w:pPr>
        <w:spacing w:line="360" w:lineRule="auto" w:after="80" w:before="0"/>
        <w:ind w:firstLine="0"/>
        <w:jc w:val="both"/>
      </w:pPr>
      <w:r>
        <w:rPr>
          <w:rFonts w:ascii="Times New Roman" w:hAnsi="Times New Roman" w:eastAsia="Times New Roman"/>
          <w:b w:val="0"/>
          <w:i w:val="0"/>
          <w:sz w:val="24"/>
        </w:rPr>
        <w:t>5. Remerciements : remplacer les [À COMPLÉTER] par les vrais noms.</w:t>
      </w:r>
    </w:p>
    <w:p>
      <w:pPr>
        <w:spacing w:line="360" w:lineRule="auto" w:after="80" w:before="0"/>
        <w:ind w:firstLine="0"/>
        <w:jc w:val="both"/>
      </w:pPr>
      <w:r>
        <w:rPr>
          <w:rFonts w:ascii="Times New Roman" w:hAnsi="Times New Roman" w:eastAsia="Times New Roman"/>
          <w:b w:val="0"/>
          <w:i w:val="0"/>
          <w:sz w:val="24"/>
        </w:rPr>
        <w:t>6. Dates exactes du stage (jour/mois/année début–fin).</w:t>
      </w:r>
    </w:p>
    <w:p>
      <w:pPr>
        <w:spacing w:line="360" w:lineRule="auto" w:after="80" w:before="0"/>
        <w:ind w:firstLine="0"/>
        <w:jc w:val="both"/>
      </w:pPr>
      <w:r>
        <w:rPr>
          <w:rFonts w:ascii="Times New Roman" w:hAnsi="Times New Roman" w:eastAsia="Times New Roman"/>
          <w:b w:val="0"/>
          <w:i w:val="0"/>
          <w:sz w:val="24"/>
        </w:rPr>
        <w:t>7. Date et lieu de soutenance.</w:t>
      </w:r>
    </w:p>
    <w:p>
      <w:pPr>
        <w:spacing w:line="360" w:lineRule="auto" w:after="80" w:before="0"/>
        <w:ind w:firstLine="0"/>
        <w:jc w:val="both"/>
      </w:pPr>
      <w:r>
        <w:rPr>
          <w:rFonts w:ascii="Times New Roman" w:hAnsi="Times New Roman" w:eastAsia="Times New Roman"/>
          <w:b w:val="0"/>
          <w:i w:val="0"/>
          <w:sz w:val="24"/>
        </w:rPr>
        <w:t>8. Vérifier avec le maître de stage le vocabulaire officiel : « déclaration » vs « autorisation » / délai 72 h (presse).</w:t>
      </w:r>
    </w:p>
    <w:p>
      <w:pPr>
        <w:spacing w:line="360" w:lineRule="auto" w:after="80" w:before="0"/>
        <w:ind w:firstLine="0"/>
        <w:jc w:val="both"/>
      </w:pPr>
      <w:r>
        <w:rPr>
          <w:rFonts w:ascii="Times New Roman" w:hAnsi="Times New Roman" w:eastAsia="Times New Roman"/>
          <w:b w:val="0"/>
          <w:i w:val="0"/>
          <w:sz w:val="24"/>
        </w:rPr>
        <w:t>9. Obtenir et scanner : fiche de déclaration papier + fiche d'évaluation (Annexes VII).</w:t>
      </w:r>
    </w:p>
    <w:p>
      <w:pPr>
        <w:spacing w:line="360" w:lineRule="auto" w:after="80" w:before="0"/>
        <w:ind w:firstLine="0"/>
        <w:jc w:val="both"/>
      </w:pPr>
      <w:r>
        <w:rPr>
          <w:rFonts w:ascii="Times New Roman" w:hAnsi="Times New Roman" w:eastAsia="Times New Roman"/>
          <w:b w:val="0"/>
          <w:i w:val="0"/>
          <w:sz w:val="24"/>
        </w:rPr>
        <w:t>10. Insérer schema_diagram.pdf dans l'Annexe IV (si le jury veut le PDF ER en plus des UML).</w:t>
      </w:r>
    </w:p>
    <w:p>
      <w:pPr>
        <w:spacing w:line="360" w:lineRule="auto" w:after="80" w:before="0"/>
        <w:ind w:firstLine="0"/>
        <w:jc w:val="both"/>
      </w:pPr>
      <w:r>
        <w:rPr>
          <w:rFonts w:ascii="Times New Roman" w:hAnsi="Times New Roman" w:eastAsia="Times New Roman"/>
          <w:b w:val="0"/>
          <w:i w:val="0"/>
          <w:sz w:val="24"/>
        </w:rPr>
        <w:t>11. Relire les diagrammes UML (memoire/docs/diagrammes/) avec le maître de stage / encadrant.</w:t>
      </w:r>
    </w:p>
    <w:p>
      <w:pPr>
        <w:spacing w:line="360" w:lineRule="auto" w:after="80" w:before="0"/>
        <w:ind w:firstLine="0"/>
        <w:jc w:val="both"/>
      </w:pPr>
      <w:r>
        <w:rPr>
          <w:rFonts w:ascii="Times New Roman" w:hAnsi="Times New Roman" w:eastAsia="Times New Roman"/>
          <w:b w:val="0"/>
          <w:i w:val="0"/>
          <w:sz w:val="24"/>
        </w:rPr>
        <w:t>12. Mesure empirique H1 (optionnel mais valorisant) : délai moyen de traitement papier vs plateforme sur un petit échantillon anonymisé.</w:t>
      </w:r>
    </w:p>
    <w:p>
      <w:pPr>
        <w:spacing w:line="360" w:lineRule="auto" w:after="80" w:before="0"/>
        <w:ind w:firstLine="0"/>
        <w:jc w:val="both"/>
      </w:pPr>
      <w:r>
        <w:rPr>
          <w:rFonts w:ascii="Times New Roman" w:hAnsi="Times New Roman" w:eastAsia="Times New Roman"/>
          <w:b w:val="0"/>
          <w:i w:val="0"/>
          <w:sz w:val="24"/>
        </w:rPr>
        <w:t>13. Confirmer validation formelle du cahier des charges par le maître de stage.</w:t>
      </w:r>
    </w:p>
    <w:p>
      <w:pPr>
        <w:spacing w:line="360" w:lineRule="auto" w:after="80" w:before="0"/>
        <w:ind w:firstLine="0"/>
        <w:jc w:val="both"/>
      </w:pPr>
      <w:r>
        <w:rPr>
          <w:rFonts w:ascii="Times New Roman" w:hAnsi="Times New Roman" w:eastAsia="Times New Roman"/>
          <w:b w:val="0"/>
          <w:i w:val="0"/>
          <w:sz w:val="24"/>
        </w:rPr>
        <w:t>14. Remplacer / compléter la capture 33-email si une capture mail client plus nette est disponible.</w:t>
      </w:r>
    </w:p>
    <w:p>
      <w:pPr>
        <w:spacing w:line="360" w:lineRule="auto" w:after="80" w:before="0"/>
        <w:ind w:firstLine="0"/>
        <w:jc w:val="both"/>
      </w:pPr>
      <w:r>
        <w:rPr>
          <w:rFonts w:ascii="Times New Roman" w:hAnsi="Times New Roman" w:eastAsia="Times New Roman"/>
          <w:b w:val="0"/>
          <w:i w:val="0"/>
          <w:sz w:val="24"/>
        </w:rPr>
        <w:t>15. Revérifier les PDF officiels Loi 048 et Arrêté 2000 sur WIPO Lex avant citation orale.</w:t>
      </w:r>
    </w:p>
    <w:p>
      <w:pPr>
        <w:spacing w:line="360" w:lineRule="auto" w:after="80" w:before="0"/>
        <w:ind w:firstLine="0"/>
        <w:jc w:val="both"/>
      </w:pPr>
      <w:r>
        <w:rPr>
          <w:rFonts w:ascii="Times New Roman" w:hAnsi="Times New Roman" w:eastAsia="Times New Roman"/>
          <w:b w:val="0"/>
          <w:i w:val="0"/>
          <w:sz w:val="24"/>
        </w:rPr>
        <w:t>16. Ajouter 2–3 références académiques (CISAC, OMPI, articles sur e-gouvernement) si le jury l'exige.</w:t>
      </w:r>
    </w:p>
    <w:p>
      <w:pPr>
        <w:spacing w:line="360" w:lineRule="auto" w:after="80" w:before="0"/>
        <w:ind w:firstLine="0"/>
        <w:jc w:val="both"/>
      </w:pPr>
      <w:r>
        <w:rPr>
          <w:rFonts w:ascii="Times New Roman" w:hAnsi="Times New Roman" w:eastAsia="Times New Roman"/>
          <w:b w:val="0"/>
          <w:i w:val="0"/>
          <w:sz w:val="24"/>
        </w:rPr>
        <w:t>17. Pagination : chiffres romains jusqu'au sommaire, arabes à partir de l'Introduction (à régler dans Word : sauts de section).</w:t>
      </w:r>
    </w:p>
    <w:p>
      <w:pPr>
        <w:spacing w:line="360" w:lineRule="auto" w:after="80" w:before="0"/>
        <w:ind w:firstLine="0"/>
        <w:jc w:val="both"/>
      </w:pPr>
      <w:r>
        <w:rPr>
          <w:rFonts w:ascii="Times New Roman" w:hAnsi="Times New Roman" w:eastAsia="Times New Roman"/>
          <w:b w:val="0"/>
          <w:i w:val="0"/>
          <w:sz w:val="24"/>
        </w:rPr>
        <w:t>18. Table des matières automatique Word (Références &gt; Table des matières) après styles Titre 1/2/3.</w:t>
      </w:r>
    </w:p>
    <w:p>
      <w:pPr>
        <w:spacing w:line="360" w:lineRule="auto" w:after="80" w:before="0"/>
        <w:ind w:firstLine="0"/>
        <w:jc w:val="both"/>
      </w:pPr>
      <w:r>
        <w:rPr>
          <w:rFonts w:ascii="Times New Roman" w:hAnsi="Times New Roman" w:eastAsia="Times New Roman"/>
          <w:b w:val="0"/>
          <w:i w:val="0"/>
          <w:sz w:val="24"/>
        </w:rPr>
        <w:t>19. Relire orthographe / accords ; harmoniser « séance occasionnelle » / « événement occasionnel ».</w:t>
      </w:r>
    </w:p>
    <w:p>
      <w:pPr>
        <w:spacing w:line="360" w:lineRule="auto" w:after="80" w:before="0"/>
        <w:ind w:firstLine="0"/>
        <w:jc w:val="both"/>
      </w:pPr>
      <w:r>
        <w:rPr>
          <w:rFonts w:ascii="Times New Roman" w:hAnsi="Times New Roman" w:eastAsia="Times New Roman"/>
          <w:b w:val="0"/>
          <w:i w:val="0"/>
          <w:sz w:val="24"/>
        </w:rPr>
        <w:t>20. Compte-rendu de stage / attestation de stage à joindre si l'école le demande (hors présent document).</w:t>
      </w:r>
    </w:p>
    <w:p>
      <w:pPr>
        <w:spacing w:line="360" w:lineRule="auto" w:after="160" w:before="0"/>
        <w:ind w:firstLine="0"/>
        <w:jc w:val="both"/>
      </w:pPr>
      <w:r>
        <w:rPr>
          <w:rFonts w:ascii="Times New Roman" w:hAnsi="Times New Roman" w:eastAsia="Times New Roman"/>
          <w:b w:val="0"/>
          <w:i w:val="0"/>
          <w:sz w:val="24"/>
        </w:rPr>
      </w:r>
    </w:p>
    <w:p>
      <w:pPr>
        <w:spacing w:line="360" w:lineRule="auto" w:after="160" w:before="0"/>
        <w:ind w:firstLine="0"/>
        <w:jc w:val="both"/>
      </w:pPr>
      <w:r>
        <w:rPr>
          <w:rFonts w:ascii="Times New Roman" w:hAnsi="Times New Roman" w:eastAsia="Times New Roman"/>
          <w:b w:val="0"/>
          <w:i/>
          <w:sz w:val="20"/>
        </w:rPr>
        <w:t>Document généré automatiquement à partir des sources du dépôt BBDA Events (protocole, cahier des charges, redaction/*.md, docs/, screenshots/, images/, RECHERCHE_DOCUMENTAIRE_THEME_BBDA_EVENTS.md) et du Cours_Rédaction scientifique.pptx (Université Aube Nouvelle, janvier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