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90A1F">
      <w:pPr>
        <w:pStyle w:val="2"/>
        <w:keepNext w:val="0"/>
        <w:keepLines w:val="0"/>
        <w:widowControl/>
        <w:suppressLineNumbers w:val="0"/>
      </w:pPr>
      <w:r>
        <w:rPr>
          <w:rStyle w:val="6"/>
          <w:b/>
          <w:bCs/>
        </w:rPr>
        <w:t>Conclusion</w:t>
      </w:r>
    </w:p>
    <w:p w14:paraId="4A4B4B9D">
      <w:pPr>
        <w:pStyle w:val="5"/>
        <w:keepNext w:val="0"/>
        <w:keepLines w:val="0"/>
        <w:widowControl/>
        <w:suppressLineNumbers w:val="0"/>
      </w:pPr>
      <w:r>
        <w:t>Ce projet a présenté une chaîne complète de traitement du signal EEG afin d’analyser les réponses cérébrales à différents styles de musique. À partir de données EEG brutes stockées au format EDF, les signaux ont été traités à l’aide de techniques de filtrage, de segmentation, d’analyse fréquentielle et de décomposition en ondelettes, permettant d’extraire des caractéristiques significatives des rythmes cérébraux.</w:t>
      </w:r>
    </w:p>
    <w:p w14:paraId="45C2D9A3">
      <w:pPr>
        <w:pStyle w:val="5"/>
        <w:keepNext w:val="0"/>
        <w:keepLines w:val="0"/>
        <w:widowControl/>
        <w:suppressLineNumbers w:val="0"/>
      </w:pPr>
      <w:r>
        <w:t>Les résultats ont montré une forte dominance de l’activité alpha dans les canaux occipitaux O1 et O2 pour l’ensemble des conditions musicales, ce qui est cohérent avec un état d’éveil calme et détendu lors de l’écoute de musique. Les bandes de fréquences plus élevées, telle</w:t>
      </w:r>
      <w:bookmarkStart w:id="0" w:name="_GoBack"/>
      <w:bookmarkEnd w:id="0"/>
      <w:r>
        <w:t>s que les bandes bêta et gamma, présentent une puissance plus faible, ce qui est attendu en raison de la caractéristique en 1/f des signaux EEG. Les variations de la puissance relative par bande ainsi que de l’indice de rapport de puissance (Power Ratio Index, PRI) selon les styles musicaux indiquent que la musique influence de manière mesurable le niveau de relaxation et l’engagement cognitif.</w:t>
      </w:r>
    </w:p>
    <w:p w14:paraId="39BCCDB1">
      <w:pPr>
        <w:pStyle w:val="5"/>
        <w:keepNext w:val="0"/>
        <w:keepLines w:val="0"/>
        <w:widowControl/>
        <w:suppressLineNumbers w:val="0"/>
      </w:pPr>
      <w:r>
        <w:t>La décomposition en ondelettes a apporté un éclairage supplémentaire sur l’évolution temporelle des bandes de fréquences EEG, mettant en évidence la nature non stationnaire de l’activité cérébrale pendant l’écoute musicale. Bien que l’analyse se soit limitée à un nombre restreint de canaux et n’ait pas inclus de méthodes avancées de suppression des artéfacts, les résultats obtenus sont en accord avec les connaissances établies en physiologie de l’EEG.</w:t>
      </w:r>
    </w:p>
    <w:p w14:paraId="197107A4">
      <w:pPr>
        <w:pStyle w:val="5"/>
        <w:keepNext w:val="0"/>
        <w:keepLines w:val="0"/>
        <w:widowControl/>
        <w:suppressLineNumbers w:val="0"/>
      </w:pPr>
      <w:r>
        <w:t>En conclusion, ce travail démontre comment des données EEG brutes peuvent être transformées en caractéristiques fréquentielles interprétables afin d’étudier l’influence de stimuli auditifs sur l’activité cérébrale. La méthodologie mise en œuvre reflète les pratiques standards du traitement des signaux EEG et constitue une base solide pour des analyses plus avancées.</w:t>
      </w:r>
    </w:p>
    <w:p w14:paraId="1B4369D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D15063"/>
    <w:rsid w:val="29D150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2026-01-03T09:38:00Z</dcterms:created>
  <dc:creator>Klenam Agbadi</dc:creator>
  <cp:lastModifiedBy>Klenam Agbadi</cp:lastModifiedBy>
  <dcterms:modified xsi:type="dcterms:W3CDTF">2026-01-03T09:39:21Z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2A6CDCF3CEE141408E8CAC21E7DB32CA_11</vt:lpwstr>
  </property>
</Properties>
</file>