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19872274" w:rsidR="003D1DBC" w:rsidRPr="00840DE3" w:rsidRDefault="003D1DBC" w:rsidP="007648F6">
      <w:pPr>
        <w:pStyle w:val="Title"/>
      </w:pPr>
      <w:r w:rsidRPr="00840DE3">
        <w:t>Rules Document for Glycemic Control</w:t>
      </w:r>
    </w:p>
    <w:p w14:paraId="59A5801F" w14:textId="2487AFBE" w:rsidR="00995164" w:rsidRPr="00840DE3" w:rsidRDefault="00BE22F4" w:rsidP="00F410AD">
      <w:pPr>
        <w:pStyle w:val="Heading1"/>
        <w:numPr>
          <w:ilvl w:val="0"/>
          <w:numId w:val="0"/>
        </w:numPr>
      </w:pPr>
      <w:bookmarkStart w:id="0" w:name="_Toc515553638"/>
      <w:r w:rsidRPr="00840DE3">
        <w:t>Summary</w:t>
      </w:r>
      <w:bookmarkEnd w:id="0"/>
    </w:p>
    <w:p w14:paraId="433B3332" w14:textId="225D11A7" w:rsidR="00E806BF" w:rsidRPr="00840DE3" w:rsidRDefault="00995164" w:rsidP="00CD7F76">
      <w:r w:rsidRPr="00840DE3">
        <w:t>This document describes the contents–the “encoding”–of the Glycemic Control Knowledge</w:t>
      </w:r>
      <w:r w:rsidR="008E6365" w:rsidRPr="00840DE3">
        <w:t>B</w:t>
      </w:r>
      <w:r w:rsidRPr="00840DE3">
        <w:t>ase;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7EC5B823" w14:textId="77777777" w:rsidR="0024402F" w:rsidRPr="00840DE3" w:rsidRDefault="006E001B">
          <w:pPr>
            <w:pStyle w:val="TOC1"/>
            <w:rPr>
              <w:rFonts w:eastAsiaTheme="minorEastAsia"/>
              <w:sz w:val="22"/>
            </w:rPr>
          </w:pPr>
          <w:r w:rsidRPr="00840DE3">
            <w:fldChar w:fldCharType="begin"/>
          </w:r>
          <w:r w:rsidRPr="00840DE3">
            <w:instrText xml:space="preserve"> TOC \o "1-2" \h \z \u </w:instrText>
          </w:r>
          <w:r w:rsidRPr="00840DE3">
            <w:fldChar w:fldCharType="separate"/>
          </w:r>
          <w:hyperlink w:anchor="_Toc515553638" w:history="1">
            <w:r w:rsidR="0024402F" w:rsidRPr="00840DE3">
              <w:rPr>
                <w:rStyle w:val="Hyperlink"/>
              </w:rPr>
              <w:t>Summary</w:t>
            </w:r>
            <w:r w:rsidR="0024402F" w:rsidRPr="00840DE3">
              <w:rPr>
                <w:webHidden/>
              </w:rPr>
              <w:tab/>
            </w:r>
            <w:r w:rsidR="0024402F" w:rsidRPr="00840DE3">
              <w:rPr>
                <w:webHidden/>
              </w:rPr>
              <w:fldChar w:fldCharType="begin"/>
            </w:r>
            <w:r w:rsidR="0024402F" w:rsidRPr="00840DE3">
              <w:rPr>
                <w:webHidden/>
              </w:rPr>
              <w:instrText xml:space="preserve"> PAGEREF _Toc515553638 \h </w:instrText>
            </w:r>
            <w:r w:rsidR="0024402F" w:rsidRPr="00840DE3">
              <w:rPr>
                <w:webHidden/>
              </w:rPr>
            </w:r>
            <w:r w:rsidR="0024402F" w:rsidRPr="00840DE3">
              <w:rPr>
                <w:webHidden/>
              </w:rPr>
              <w:fldChar w:fldCharType="separate"/>
            </w:r>
            <w:r w:rsidR="0024402F" w:rsidRPr="00840DE3">
              <w:rPr>
                <w:webHidden/>
              </w:rPr>
              <w:t>1</w:t>
            </w:r>
            <w:r w:rsidR="0024402F" w:rsidRPr="00840DE3">
              <w:rPr>
                <w:webHidden/>
              </w:rPr>
              <w:fldChar w:fldCharType="end"/>
            </w:r>
          </w:hyperlink>
        </w:p>
        <w:p w14:paraId="02361CC4" w14:textId="77777777" w:rsidR="0024402F" w:rsidRPr="00840DE3" w:rsidRDefault="002E5DE6">
          <w:pPr>
            <w:pStyle w:val="TOC1"/>
            <w:rPr>
              <w:rFonts w:eastAsiaTheme="minorEastAsia"/>
              <w:sz w:val="22"/>
            </w:rPr>
          </w:pPr>
          <w:hyperlink w:anchor="_Toc515553639" w:history="1">
            <w:r w:rsidR="0024402F" w:rsidRPr="00840DE3">
              <w:rPr>
                <w:rStyle w:val="Hyperlink"/>
              </w:rPr>
              <w:t>1.0</w:t>
            </w:r>
            <w:r w:rsidR="0024402F" w:rsidRPr="00840DE3">
              <w:rPr>
                <w:rFonts w:eastAsiaTheme="minorEastAsia"/>
                <w:sz w:val="22"/>
              </w:rPr>
              <w:tab/>
            </w:r>
            <w:r w:rsidR="0024402F" w:rsidRPr="00840DE3">
              <w:rPr>
                <w:rStyle w:val="Hyperlink"/>
              </w:rPr>
              <w:t>Overview</w:t>
            </w:r>
            <w:r w:rsidR="0024402F" w:rsidRPr="00840DE3">
              <w:rPr>
                <w:webHidden/>
              </w:rPr>
              <w:tab/>
            </w:r>
            <w:r w:rsidR="0024402F" w:rsidRPr="00840DE3">
              <w:rPr>
                <w:webHidden/>
              </w:rPr>
              <w:fldChar w:fldCharType="begin"/>
            </w:r>
            <w:r w:rsidR="0024402F" w:rsidRPr="00840DE3">
              <w:rPr>
                <w:webHidden/>
              </w:rPr>
              <w:instrText xml:space="preserve"> PAGEREF _Toc515553639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70FA3D07" w14:textId="77777777" w:rsidR="0024402F" w:rsidRPr="00840DE3" w:rsidRDefault="002E5DE6">
          <w:pPr>
            <w:pStyle w:val="TOC2"/>
            <w:rPr>
              <w:rFonts w:eastAsiaTheme="minorEastAsia"/>
              <w:sz w:val="22"/>
            </w:rPr>
          </w:pPr>
          <w:hyperlink w:anchor="_Toc515553640" w:history="1">
            <w:r w:rsidR="0024402F" w:rsidRPr="00840DE3">
              <w:rPr>
                <w:rStyle w:val="Hyperlink"/>
              </w:rPr>
              <w:t>1.1</w:t>
            </w:r>
            <w:r w:rsidR="0024402F" w:rsidRPr="00840DE3">
              <w:rPr>
                <w:rFonts w:eastAsiaTheme="minorEastAsia"/>
                <w:sz w:val="22"/>
              </w:rPr>
              <w:tab/>
            </w:r>
            <w:r w:rsidR="0024402F" w:rsidRPr="00840DE3">
              <w:rPr>
                <w:rStyle w:val="Hyperlink"/>
              </w:rPr>
              <w:t>Background</w:t>
            </w:r>
            <w:r w:rsidR="0024402F" w:rsidRPr="00840DE3">
              <w:rPr>
                <w:webHidden/>
              </w:rPr>
              <w:tab/>
            </w:r>
            <w:r w:rsidR="0024402F" w:rsidRPr="00840DE3">
              <w:rPr>
                <w:webHidden/>
              </w:rPr>
              <w:fldChar w:fldCharType="begin"/>
            </w:r>
            <w:r w:rsidR="0024402F" w:rsidRPr="00840DE3">
              <w:rPr>
                <w:webHidden/>
              </w:rPr>
              <w:instrText xml:space="preserve"> PAGEREF _Toc515553640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4B042DBB" w14:textId="77777777" w:rsidR="0024402F" w:rsidRPr="00840DE3" w:rsidRDefault="002E5DE6">
          <w:pPr>
            <w:pStyle w:val="TOC2"/>
            <w:rPr>
              <w:rFonts w:eastAsiaTheme="minorEastAsia"/>
              <w:sz w:val="22"/>
            </w:rPr>
          </w:pPr>
          <w:hyperlink w:anchor="_Toc515553641" w:history="1">
            <w:r w:rsidR="0024402F" w:rsidRPr="00840DE3">
              <w:rPr>
                <w:rStyle w:val="Hyperlink"/>
              </w:rPr>
              <w:t>1.2</w:t>
            </w:r>
            <w:r w:rsidR="0024402F" w:rsidRPr="00840DE3">
              <w:rPr>
                <w:rFonts w:eastAsiaTheme="minorEastAsia"/>
                <w:sz w:val="22"/>
              </w:rPr>
              <w:tab/>
            </w:r>
            <w:r w:rsidR="0024402F" w:rsidRPr="00840DE3">
              <w:rPr>
                <w:rStyle w:val="Hyperlink"/>
              </w:rPr>
              <w:t>Use of the Rules Document</w:t>
            </w:r>
            <w:r w:rsidR="0024402F" w:rsidRPr="00840DE3">
              <w:rPr>
                <w:webHidden/>
              </w:rPr>
              <w:tab/>
            </w:r>
            <w:r w:rsidR="0024402F" w:rsidRPr="00840DE3">
              <w:rPr>
                <w:webHidden/>
              </w:rPr>
              <w:fldChar w:fldCharType="begin"/>
            </w:r>
            <w:r w:rsidR="0024402F" w:rsidRPr="00840DE3">
              <w:rPr>
                <w:webHidden/>
              </w:rPr>
              <w:instrText xml:space="preserve"> PAGEREF _Toc515553641 \h </w:instrText>
            </w:r>
            <w:r w:rsidR="0024402F" w:rsidRPr="00840DE3">
              <w:rPr>
                <w:webHidden/>
              </w:rPr>
            </w:r>
            <w:r w:rsidR="0024402F" w:rsidRPr="00840DE3">
              <w:rPr>
                <w:webHidden/>
              </w:rPr>
              <w:fldChar w:fldCharType="separate"/>
            </w:r>
            <w:r w:rsidR="0024402F" w:rsidRPr="00840DE3">
              <w:rPr>
                <w:webHidden/>
              </w:rPr>
              <w:t>4</w:t>
            </w:r>
            <w:r w:rsidR="0024402F" w:rsidRPr="00840DE3">
              <w:rPr>
                <w:webHidden/>
              </w:rPr>
              <w:fldChar w:fldCharType="end"/>
            </w:r>
          </w:hyperlink>
        </w:p>
        <w:p w14:paraId="7A5B36D2" w14:textId="77777777" w:rsidR="0024402F" w:rsidRPr="00840DE3" w:rsidRDefault="002E5DE6">
          <w:pPr>
            <w:pStyle w:val="TOC1"/>
            <w:rPr>
              <w:rFonts w:eastAsiaTheme="minorEastAsia"/>
              <w:sz w:val="22"/>
            </w:rPr>
          </w:pPr>
          <w:hyperlink w:anchor="_Toc515553642" w:history="1">
            <w:r w:rsidR="0024402F" w:rsidRPr="00840DE3">
              <w:rPr>
                <w:rStyle w:val="Hyperlink"/>
              </w:rPr>
              <w:t>2.0</w:t>
            </w:r>
            <w:r w:rsidR="0024402F" w:rsidRPr="00840DE3">
              <w:rPr>
                <w:rFonts w:eastAsiaTheme="minorEastAsia"/>
                <w:sz w:val="22"/>
              </w:rPr>
              <w:tab/>
            </w:r>
            <w:r w:rsidR="0024402F" w:rsidRPr="00840DE3">
              <w:rPr>
                <w:rStyle w:val="Hyperlink"/>
              </w:rPr>
              <w:t>Eligibility, Goals, and Limitations</w:t>
            </w:r>
            <w:r w:rsidR="0024402F" w:rsidRPr="00840DE3">
              <w:rPr>
                <w:webHidden/>
              </w:rPr>
              <w:tab/>
            </w:r>
            <w:r w:rsidR="0024402F" w:rsidRPr="00840DE3">
              <w:rPr>
                <w:webHidden/>
              </w:rPr>
              <w:fldChar w:fldCharType="begin"/>
            </w:r>
            <w:r w:rsidR="0024402F" w:rsidRPr="00840DE3">
              <w:rPr>
                <w:webHidden/>
              </w:rPr>
              <w:instrText xml:space="preserve"> PAGEREF _Toc515553642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185318F7" w14:textId="77777777" w:rsidR="0024402F" w:rsidRPr="00840DE3" w:rsidRDefault="002E5DE6">
          <w:pPr>
            <w:pStyle w:val="TOC2"/>
            <w:rPr>
              <w:rFonts w:eastAsiaTheme="minorEastAsia"/>
              <w:sz w:val="22"/>
            </w:rPr>
          </w:pPr>
          <w:hyperlink w:anchor="_Toc515553643" w:history="1">
            <w:r w:rsidR="0024402F" w:rsidRPr="00840DE3">
              <w:rPr>
                <w:rStyle w:val="Hyperlink"/>
              </w:rPr>
              <w:t>2.1</w:t>
            </w:r>
            <w:r w:rsidR="0024402F" w:rsidRPr="00840DE3">
              <w:rPr>
                <w:rFonts w:eastAsiaTheme="minorEastAsia"/>
                <w:sz w:val="22"/>
              </w:rPr>
              <w:tab/>
            </w:r>
            <w:r w:rsidR="0024402F" w:rsidRPr="00840DE3">
              <w:rPr>
                <w:rStyle w:val="Hyperlink"/>
              </w:rPr>
              <w:t>Eligibility</w:t>
            </w:r>
            <w:r w:rsidR="0024402F" w:rsidRPr="00840DE3">
              <w:rPr>
                <w:webHidden/>
              </w:rPr>
              <w:tab/>
            </w:r>
            <w:r w:rsidR="0024402F" w:rsidRPr="00840DE3">
              <w:rPr>
                <w:webHidden/>
              </w:rPr>
              <w:fldChar w:fldCharType="begin"/>
            </w:r>
            <w:r w:rsidR="0024402F" w:rsidRPr="00840DE3">
              <w:rPr>
                <w:webHidden/>
              </w:rPr>
              <w:instrText xml:space="preserve"> PAGEREF _Toc515553643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46F18D2D" w14:textId="77777777" w:rsidR="0024402F" w:rsidRPr="00840DE3" w:rsidRDefault="002E5DE6">
          <w:pPr>
            <w:pStyle w:val="TOC2"/>
            <w:rPr>
              <w:rFonts w:eastAsiaTheme="minorEastAsia"/>
              <w:sz w:val="22"/>
            </w:rPr>
          </w:pPr>
          <w:hyperlink w:anchor="_Toc515553644" w:history="1">
            <w:r w:rsidR="0024402F" w:rsidRPr="00840DE3">
              <w:rPr>
                <w:rStyle w:val="Hyperlink"/>
              </w:rPr>
              <w:t>2.2</w:t>
            </w:r>
            <w:r w:rsidR="0024402F" w:rsidRPr="00840DE3">
              <w:rPr>
                <w:rFonts w:eastAsiaTheme="minorEastAsia"/>
                <w:sz w:val="22"/>
              </w:rPr>
              <w:tab/>
            </w:r>
            <w:r w:rsidR="0024402F" w:rsidRPr="00840DE3">
              <w:rPr>
                <w:rStyle w:val="Hyperlink"/>
              </w:rPr>
              <w:t>Goals</w:t>
            </w:r>
            <w:r w:rsidR="0024402F" w:rsidRPr="00840DE3">
              <w:rPr>
                <w:webHidden/>
              </w:rPr>
              <w:tab/>
            </w:r>
            <w:r w:rsidR="0024402F" w:rsidRPr="00840DE3">
              <w:rPr>
                <w:webHidden/>
              </w:rPr>
              <w:fldChar w:fldCharType="begin"/>
            </w:r>
            <w:r w:rsidR="0024402F" w:rsidRPr="00840DE3">
              <w:rPr>
                <w:webHidden/>
              </w:rPr>
              <w:instrText xml:space="preserve"> PAGEREF _Toc515553644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3BC1E232" w14:textId="77777777" w:rsidR="0024402F" w:rsidRPr="00840DE3" w:rsidRDefault="002E5DE6">
          <w:pPr>
            <w:pStyle w:val="TOC2"/>
            <w:rPr>
              <w:rFonts w:eastAsiaTheme="minorEastAsia"/>
              <w:sz w:val="22"/>
            </w:rPr>
          </w:pPr>
          <w:hyperlink w:anchor="_Toc515553645" w:history="1">
            <w:r w:rsidR="0024402F" w:rsidRPr="00840DE3">
              <w:rPr>
                <w:rStyle w:val="Hyperlink"/>
              </w:rPr>
              <w:t>2.3</w:t>
            </w:r>
            <w:r w:rsidR="0024402F" w:rsidRPr="00840DE3">
              <w:rPr>
                <w:rFonts w:eastAsiaTheme="minorEastAsia"/>
                <w:sz w:val="22"/>
              </w:rPr>
              <w:tab/>
            </w:r>
            <w:r w:rsidR="0024402F" w:rsidRPr="00840DE3">
              <w:rPr>
                <w:rStyle w:val="Hyperlink"/>
              </w:rPr>
              <w:t>Limitations</w:t>
            </w:r>
            <w:r w:rsidR="0024402F" w:rsidRPr="00840DE3">
              <w:rPr>
                <w:webHidden/>
              </w:rPr>
              <w:tab/>
            </w:r>
            <w:r w:rsidR="0024402F" w:rsidRPr="00840DE3">
              <w:rPr>
                <w:webHidden/>
              </w:rPr>
              <w:fldChar w:fldCharType="begin"/>
            </w:r>
            <w:r w:rsidR="0024402F" w:rsidRPr="00840DE3">
              <w:rPr>
                <w:webHidden/>
              </w:rPr>
              <w:instrText xml:space="preserve"> PAGEREF _Toc515553645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180F72C1" w14:textId="77777777" w:rsidR="0024402F" w:rsidRPr="00840DE3" w:rsidRDefault="002E5DE6">
          <w:pPr>
            <w:pStyle w:val="TOC1"/>
            <w:rPr>
              <w:rFonts w:eastAsiaTheme="minorEastAsia"/>
              <w:sz w:val="22"/>
            </w:rPr>
          </w:pPr>
          <w:hyperlink w:anchor="_Toc515553646" w:history="1">
            <w:r w:rsidR="0024402F" w:rsidRPr="00840DE3">
              <w:rPr>
                <w:rStyle w:val="Hyperlink"/>
              </w:rPr>
              <w:t>3.0</w:t>
            </w:r>
            <w:r w:rsidR="0024402F" w:rsidRPr="00840DE3">
              <w:rPr>
                <w:rFonts w:eastAsiaTheme="minorEastAsia"/>
                <w:sz w:val="22"/>
              </w:rPr>
              <w:tab/>
            </w:r>
            <w:r w:rsidR="0024402F" w:rsidRPr="00840DE3">
              <w:rPr>
                <w:rStyle w:val="Hyperlink"/>
              </w:rPr>
              <w:t>Drugs Therapies</w:t>
            </w:r>
            <w:r w:rsidR="0024402F" w:rsidRPr="00840DE3">
              <w:rPr>
                <w:webHidden/>
              </w:rPr>
              <w:tab/>
            </w:r>
            <w:r w:rsidR="0024402F" w:rsidRPr="00840DE3">
              <w:rPr>
                <w:webHidden/>
              </w:rPr>
              <w:fldChar w:fldCharType="begin"/>
            </w:r>
            <w:r w:rsidR="0024402F" w:rsidRPr="00840DE3">
              <w:rPr>
                <w:webHidden/>
              </w:rPr>
              <w:instrText xml:space="preserve"> PAGEREF _Toc515553646 \h </w:instrText>
            </w:r>
            <w:r w:rsidR="0024402F" w:rsidRPr="00840DE3">
              <w:rPr>
                <w:webHidden/>
              </w:rPr>
            </w:r>
            <w:r w:rsidR="0024402F" w:rsidRPr="00840DE3">
              <w:rPr>
                <w:webHidden/>
              </w:rPr>
              <w:fldChar w:fldCharType="separate"/>
            </w:r>
            <w:r w:rsidR="0024402F" w:rsidRPr="00840DE3">
              <w:rPr>
                <w:webHidden/>
              </w:rPr>
              <w:t>7</w:t>
            </w:r>
            <w:r w:rsidR="0024402F" w:rsidRPr="00840DE3">
              <w:rPr>
                <w:webHidden/>
              </w:rPr>
              <w:fldChar w:fldCharType="end"/>
            </w:r>
          </w:hyperlink>
        </w:p>
        <w:p w14:paraId="23B220BE" w14:textId="77777777" w:rsidR="0024402F" w:rsidRPr="00840DE3" w:rsidRDefault="002E5DE6">
          <w:pPr>
            <w:pStyle w:val="TOC2"/>
            <w:rPr>
              <w:rFonts w:eastAsiaTheme="minorEastAsia"/>
              <w:sz w:val="22"/>
            </w:rPr>
          </w:pPr>
          <w:hyperlink w:anchor="_Toc515553647" w:history="1">
            <w:r w:rsidR="0024402F" w:rsidRPr="00840DE3">
              <w:rPr>
                <w:rStyle w:val="Hyperlink"/>
              </w:rPr>
              <w:t>3.1</w:t>
            </w:r>
            <w:r w:rsidR="0024402F" w:rsidRPr="00840DE3">
              <w:rPr>
                <w:rFonts w:eastAsiaTheme="minorEastAsia"/>
                <w:sz w:val="22"/>
              </w:rPr>
              <w:tab/>
            </w:r>
            <w:r w:rsidR="0024402F" w:rsidRPr="00840DE3">
              <w:rPr>
                <w:rStyle w:val="Hyperlink"/>
              </w:rPr>
              <w:t>Definitions</w:t>
            </w:r>
            <w:r w:rsidR="0024402F" w:rsidRPr="00840DE3">
              <w:rPr>
                <w:webHidden/>
              </w:rPr>
              <w:tab/>
            </w:r>
            <w:r w:rsidR="0024402F" w:rsidRPr="00840DE3">
              <w:rPr>
                <w:webHidden/>
              </w:rPr>
              <w:fldChar w:fldCharType="begin"/>
            </w:r>
            <w:r w:rsidR="0024402F" w:rsidRPr="00840DE3">
              <w:rPr>
                <w:webHidden/>
              </w:rPr>
              <w:instrText xml:space="preserve"> PAGEREF _Toc515553647 \h </w:instrText>
            </w:r>
            <w:r w:rsidR="0024402F" w:rsidRPr="00840DE3">
              <w:rPr>
                <w:webHidden/>
              </w:rPr>
            </w:r>
            <w:r w:rsidR="0024402F" w:rsidRPr="00840DE3">
              <w:rPr>
                <w:webHidden/>
              </w:rPr>
              <w:fldChar w:fldCharType="separate"/>
            </w:r>
            <w:r w:rsidR="0024402F" w:rsidRPr="00840DE3">
              <w:rPr>
                <w:webHidden/>
              </w:rPr>
              <w:t>8</w:t>
            </w:r>
            <w:r w:rsidR="0024402F" w:rsidRPr="00840DE3">
              <w:rPr>
                <w:webHidden/>
              </w:rPr>
              <w:fldChar w:fldCharType="end"/>
            </w:r>
          </w:hyperlink>
        </w:p>
        <w:p w14:paraId="039EEF92" w14:textId="77777777" w:rsidR="0024402F" w:rsidRPr="00840DE3" w:rsidRDefault="002E5DE6">
          <w:pPr>
            <w:pStyle w:val="TOC2"/>
            <w:rPr>
              <w:rFonts w:eastAsiaTheme="minorEastAsia"/>
              <w:sz w:val="22"/>
            </w:rPr>
          </w:pPr>
          <w:hyperlink w:anchor="_Toc515553648" w:history="1">
            <w:r w:rsidR="0024402F" w:rsidRPr="00840DE3">
              <w:rPr>
                <w:rStyle w:val="Hyperlink"/>
              </w:rPr>
              <w:t>3.2</w:t>
            </w:r>
            <w:r w:rsidR="0024402F" w:rsidRPr="00840DE3">
              <w:rPr>
                <w:rFonts w:eastAsiaTheme="minorEastAsia"/>
                <w:sz w:val="22"/>
              </w:rPr>
              <w:tab/>
            </w:r>
            <w:r w:rsidR="0024402F" w:rsidRPr="00840DE3">
              <w:rPr>
                <w:rStyle w:val="Hyperlink"/>
              </w:rPr>
              <w:t>Messages associated with drug recommendations</w:t>
            </w:r>
            <w:r w:rsidR="0024402F" w:rsidRPr="00840DE3">
              <w:rPr>
                <w:webHidden/>
              </w:rPr>
              <w:tab/>
            </w:r>
            <w:r w:rsidR="0024402F" w:rsidRPr="00840DE3">
              <w:rPr>
                <w:webHidden/>
              </w:rPr>
              <w:fldChar w:fldCharType="begin"/>
            </w:r>
            <w:r w:rsidR="0024402F" w:rsidRPr="00840DE3">
              <w:rPr>
                <w:webHidden/>
              </w:rPr>
              <w:instrText xml:space="preserve"> PAGEREF _Toc515553648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03595FA7" w14:textId="77777777" w:rsidR="0024402F" w:rsidRPr="00840DE3" w:rsidRDefault="002E5DE6">
          <w:pPr>
            <w:pStyle w:val="TOC2"/>
            <w:rPr>
              <w:rFonts w:eastAsiaTheme="minorEastAsia"/>
              <w:sz w:val="22"/>
            </w:rPr>
          </w:pPr>
          <w:hyperlink w:anchor="_Toc515553649" w:history="1">
            <w:r w:rsidR="0024402F" w:rsidRPr="00840DE3">
              <w:rPr>
                <w:rStyle w:val="Hyperlink"/>
              </w:rPr>
              <w:t>3.3</w:t>
            </w:r>
            <w:r w:rsidR="0024402F" w:rsidRPr="00840DE3">
              <w:rPr>
                <w:rFonts w:eastAsiaTheme="minorEastAsia"/>
                <w:sz w:val="22"/>
              </w:rPr>
              <w:tab/>
            </w:r>
            <w:r w:rsidR="0024402F" w:rsidRPr="00840DE3">
              <w:rPr>
                <w:rStyle w:val="Hyperlink"/>
              </w:rPr>
              <w:t>Note on Dates &amp; Session Times</w:t>
            </w:r>
            <w:r w:rsidR="0024402F" w:rsidRPr="00840DE3">
              <w:rPr>
                <w:webHidden/>
              </w:rPr>
              <w:tab/>
            </w:r>
            <w:r w:rsidR="0024402F" w:rsidRPr="00840DE3">
              <w:rPr>
                <w:webHidden/>
              </w:rPr>
              <w:fldChar w:fldCharType="begin"/>
            </w:r>
            <w:r w:rsidR="0024402F" w:rsidRPr="00840DE3">
              <w:rPr>
                <w:webHidden/>
              </w:rPr>
              <w:instrText xml:space="preserve"> PAGEREF _Toc515553649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16B73235" w14:textId="77777777" w:rsidR="0024402F" w:rsidRPr="00840DE3" w:rsidRDefault="002E5DE6">
          <w:pPr>
            <w:pStyle w:val="TOC2"/>
            <w:rPr>
              <w:rFonts w:eastAsiaTheme="minorEastAsia"/>
              <w:sz w:val="22"/>
            </w:rPr>
          </w:pPr>
          <w:hyperlink w:anchor="_Toc515553650" w:history="1">
            <w:r w:rsidR="0024402F" w:rsidRPr="00840DE3">
              <w:rPr>
                <w:rStyle w:val="Hyperlink"/>
              </w:rPr>
              <w:t>3.4</w:t>
            </w:r>
            <w:r w:rsidR="0024402F" w:rsidRPr="00840DE3">
              <w:rPr>
                <w:rFonts w:eastAsiaTheme="minorEastAsia"/>
                <w:sz w:val="22"/>
              </w:rPr>
              <w:tab/>
            </w:r>
            <w:r w:rsidR="0024402F" w:rsidRPr="00840DE3">
              <w:rPr>
                <w:rStyle w:val="Hyperlink"/>
              </w:rPr>
              <w:t>Medication Possession Ratio</w:t>
            </w:r>
            <w:r w:rsidR="0024402F" w:rsidRPr="00840DE3">
              <w:rPr>
                <w:webHidden/>
              </w:rPr>
              <w:tab/>
            </w:r>
            <w:r w:rsidR="0024402F" w:rsidRPr="00840DE3">
              <w:rPr>
                <w:webHidden/>
              </w:rPr>
              <w:fldChar w:fldCharType="begin"/>
            </w:r>
            <w:r w:rsidR="0024402F" w:rsidRPr="00840DE3">
              <w:rPr>
                <w:webHidden/>
              </w:rPr>
              <w:instrText xml:space="preserve"> PAGEREF _Toc515553650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0D0DD900" w14:textId="77777777" w:rsidR="0024402F" w:rsidRPr="00840DE3" w:rsidRDefault="002E5DE6">
          <w:pPr>
            <w:pStyle w:val="TOC2"/>
            <w:rPr>
              <w:rFonts w:eastAsiaTheme="minorEastAsia"/>
              <w:sz w:val="22"/>
            </w:rPr>
          </w:pPr>
          <w:hyperlink w:anchor="_Toc515553651" w:history="1">
            <w:r w:rsidR="0024402F" w:rsidRPr="00840DE3">
              <w:rPr>
                <w:rStyle w:val="Hyperlink"/>
              </w:rPr>
              <w:t>3.5</w:t>
            </w:r>
            <w:r w:rsidR="0024402F" w:rsidRPr="00840DE3">
              <w:rPr>
                <w:rFonts w:eastAsiaTheme="minorEastAsia"/>
                <w:sz w:val="22"/>
              </w:rPr>
              <w:tab/>
            </w:r>
            <w:r w:rsidR="0024402F" w:rsidRPr="00840DE3">
              <w:rPr>
                <w:rStyle w:val="Hyperlink"/>
              </w:rPr>
              <w:t>Encoded Drugs</w:t>
            </w:r>
            <w:r w:rsidR="0024402F" w:rsidRPr="00840DE3">
              <w:rPr>
                <w:webHidden/>
              </w:rPr>
              <w:tab/>
            </w:r>
            <w:r w:rsidR="0024402F" w:rsidRPr="00840DE3">
              <w:rPr>
                <w:webHidden/>
              </w:rPr>
              <w:fldChar w:fldCharType="begin"/>
            </w:r>
            <w:r w:rsidR="0024402F" w:rsidRPr="00840DE3">
              <w:rPr>
                <w:webHidden/>
              </w:rPr>
              <w:instrText xml:space="preserve"> PAGEREF _Toc515553651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674A7BE3" w14:textId="77777777" w:rsidR="0024402F" w:rsidRPr="00840DE3" w:rsidRDefault="002E5DE6">
          <w:pPr>
            <w:pStyle w:val="TOC1"/>
            <w:rPr>
              <w:rFonts w:eastAsiaTheme="minorEastAsia"/>
              <w:sz w:val="22"/>
            </w:rPr>
          </w:pPr>
          <w:hyperlink w:anchor="_Toc515553652" w:history="1">
            <w:r w:rsidR="0024402F" w:rsidRPr="00840DE3">
              <w:rPr>
                <w:rStyle w:val="Hyperlink"/>
              </w:rPr>
              <w:t>4.0</w:t>
            </w:r>
            <w:r w:rsidR="0024402F" w:rsidRPr="00840DE3">
              <w:rPr>
                <w:rFonts w:eastAsiaTheme="minorEastAsia"/>
                <w:sz w:val="22"/>
              </w:rPr>
              <w:tab/>
            </w:r>
            <w:r w:rsidR="0024402F" w:rsidRPr="00840DE3">
              <w:rPr>
                <w:rStyle w:val="Hyperlink"/>
              </w:rPr>
              <w:t>Behavior of the CDS</w:t>
            </w:r>
            <w:r w:rsidR="0024402F" w:rsidRPr="00840DE3">
              <w:rPr>
                <w:webHidden/>
              </w:rPr>
              <w:tab/>
            </w:r>
            <w:r w:rsidR="0024402F" w:rsidRPr="00840DE3">
              <w:rPr>
                <w:webHidden/>
              </w:rPr>
              <w:fldChar w:fldCharType="begin"/>
            </w:r>
            <w:r w:rsidR="0024402F" w:rsidRPr="00840DE3">
              <w:rPr>
                <w:webHidden/>
              </w:rPr>
              <w:instrText xml:space="preserve"> PAGEREF _Toc515553652 \h </w:instrText>
            </w:r>
            <w:r w:rsidR="0024402F" w:rsidRPr="00840DE3">
              <w:rPr>
                <w:webHidden/>
              </w:rPr>
            </w:r>
            <w:r w:rsidR="0024402F" w:rsidRPr="00840DE3">
              <w:rPr>
                <w:webHidden/>
              </w:rPr>
              <w:fldChar w:fldCharType="separate"/>
            </w:r>
            <w:r w:rsidR="0024402F" w:rsidRPr="00840DE3">
              <w:rPr>
                <w:webHidden/>
              </w:rPr>
              <w:t>20</w:t>
            </w:r>
            <w:r w:rsidR="0024402F" w:rsidRPr="00840DE3">
              <w:rPr>
                <w:webHidden/>
              </w:rPr>
              <w:fldChar w:fldCharType="end"/>
            </w:r>
          </w:hyperlink>
        </w:p>
        <w:p w14:paraId="2F7F97B8" w14:textId="77777777" w:rsidR="0024402F" w:rsidRPr="00840DE3" w:rsidRDefault="002E5DE6">
          <w:pPr>
            <w:pStyle w:val="TOC2"/>
            <w:rPr>
              <w:rFonts w:eastAsiaTheme="minorEastAsia"/>
              <w:sz w:val="22"/>
            </w:rPr>
          </w:pPr>
          <w:hyperlink w:anchor="_Toc515553653" w:history="1">
            <w:r w:rsidR="0024402F" w:rsidRPr="00840DE3">
              <w:rPr>
                <w:rStyle w:val="Hyperlink"/>
              </w:rPr>
              <w:t>4.1</w:t>
            </w:r>
            <w:r w:rsidR="0024402F" w:rsidRPr="00840DE3">
              <w:rPr>
                <w:rFonts w:eastAsiaTheme="minorEastAsia"/>
                <w:sz w:val="22"/>
              </w:rPr>
              <w:tab/>
            </w:r>
            <w:r w:rsidR="0024402F" w:rsidRPr="00840DE3">
              <w:rPr>
                <w:rStyle w:val="Hyperlink"/>
              </w:rPr>
              <w:t>Note on Drug Dosages</w:t>
            </w:r>
            <w:r w:rsidR="0024402F" w:rsidRPr="00840DE3">
              <w:rPr>
                <w:webHidden/>
              </w:rPr>
              <w:tab/>
            </w:r>
            <w:r w:rsidR="0024402F" w:rsidRPr="00840DE3">
              <w:rPr>
                <w:webHidden/>
              </w:rPr>
              <w:fldChar w:fldCharType="begin"/>
            </w:r>
            <w:r w:rsidR="0024402F" w:rsidRPr="00840DE3">
              <w:rPr>
                <w:webHidden/>
              </w:rPr>
              <w:instrText xml:space="preserve"> PAGEREF _Toc515553653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4CEC4908" w14:textId="77777777" w:rsidR="0024402F" w:rsidRPr="00840DE3" w:rsidRDefault="002E5DE6">
          <w:pPr>
            <w:pStyle w:val="TOC2"/>
            <w:rPr>
              <w:rFonts w:eastAsiaTheme="minorEastAsia"/>
              <w:sz w:val="22"/>
            </w:rPr>
          </w:pPr>
          <w:hyperlink w:anchor="_Toc515553654" w:history="1">
            <w:r w:rsidR="0024402F" w:rsidRPr="00840DE3">
              <w:rPr>
                <w:rStyle w:val="Hyperlink"/>
              </w:rPr>
              <w:t>4.2</w:t>
            </w:r>
            <w:r w:rsidR="0024402F" w:rsidRPr="00840DE3">
              <w:rPr>
                <w:rFonts w:eastAsiaTheme="minorEastAsia"/>
                <w:sz w:val="22"/>
              </w:rPr>
              <w:tab/>
            </w:r>
            <w:r w:rsidR="0024402F" w:rsidRPr="00840DE3">
              <w:rPr>
                <w:rStyle w:val="Hyperlink"/>
              </w:rPr>
              <w:t>Scenarios Background</w:t>
            </w:r>
            <w:r w:rsidR="0024402F" w:rsidRPr="00840DE3">
              <w:rPr>
                <w:webHidden/>
              </w:rPr>
              <w:tab/>
            </w:r>
            <w:r w:rsidR="0024402F" w:rsidRPr="00840DE3">
              <w:rPr>
                <w:webHidden/>
              </w:rPr>
              <w:fldChar w:fldCharType="begin"/>
            </w:r>
            <w:r w:rsidR="0024402F" w:rsidRPr="00840DE3">
              <w:rPr>
                <w:webHidden/>
              </w:rPr>
              <w:instrText xml:space="preserve"> PAGEREF _Toc515553654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1FBA93EC" w14:textId="77777777" w:rsidR="0024402F" w:rsidRPr="00840DE3" w:rsidRDefault="002E5DE6">
          <w:pPr>
            <w:pStyle w:val="TOC2"/>
            <w:rPr>
              <w:rFonts w:eastAsiaTheme="minorEastAsia"/>
              <w:sz w:val="22"/>
            </w:rPr>
          </w:pPr>
          <w:hyperlink w:anchor="_Toc515553655" w:history="1">
            <w:r w:rsidR="0024402F" w:rsidRPr="00840DE3">
              <w:rPr>
                <w:rStyle w:val="Hyperlink"/>
              </w:rPr>
              <w:t>4.3</w:t>
            </w:r>
            <w:r w:rsidR="0024402F" w:rsidRPr="00840DE3">
              <w:rPr>
                <w:rFonts w:eastAsiaTheme="minorEastAsia"/>
                <w:sz w:val="22"/>
              </w:rPr>
              <w:tab/>
            </w:r>
            <w:r w:rsidR="0024402F" w:rsidRPr="00840DE3">
              <w:rPr>
                <w:rStyle w:val="Hyperlink"/>
              </w:rPr>
              <w:t>Scenario: No oral drugs</w:t>
            </w:r>
            <w:r w:rsidR="0024402F" w:rsidRPr="00840DE3">
              <w:rPr>
                <w:webHidden/>
              </w:rPr>
              <w:tab/>
            </w:r>
            <w:r w:rsidR="0024402F" w:rsidRPr="00840DE3">
              <w:rPr>
                <w:webHidden/>
              </w:rPr>
              <w:fldChar w:fldCharType="begin"/>
            </w:r>
            <w:r w:rsidR="0024402F" w:rsidRPr="00840DE3">
              <w:rPr>
                <w:webHidden/>
              </w:rPr>
              <w:instrText xml:space="preserve"> PAGEREF _Toc515553655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53C97A4F" w14:textId="77777777" w:rsidR="0024402F" w:rsidRPr="00840DE3" w:rsidRDefault="002E5DE6">
          <w:pPr>
            <w:pStyle w:val="TOC2"/>
            <w:rPr>
              <w:rFonts w:eastAsiaTheme="minorEastAsia"/>
              <w:sz w:val="22"/>
            </w:rPr>
          </w:pPr>
          <w:hyperlink w:anchor="_Toc515553656" w:history="1">
            <w:r w:rsidR="0024402F" w:rsidRPr="00840DE3">
              <w:rPr>
                <w:rStyle w:val="Hyperlink"/>
              </w:rPr>
              <w:t>4.4</w:t>
            </w:r>
            <w:r w:rsidR="0024402F" w:rsidRPr="00840DE3">
              <w:rPr>
                <w:rFonts w:eastAsiaTheme="minorEastAsia"/>
                <w:sz w:val="22"/>
              </w:rPr>
              <w:tab/>
            </w:r>
            <w:r w:rsidR="0024402F" w:rsidRPr="00840DE3">
              <w:rPr>
                <w:rStyle w:val="Hyperlink"/>
              </w:rPr>
              <w:t>Scenario: One oral drug</w:t>
            </w:r>
            <w:r w:rsidR="0024402F" w:rsidRPr="00840DE3">
              <w:rPr>
                <w:webHidden/>
              </w:rPr>
              <w:tab/>
            </w:r>
            <w:r w:rsidR="0024402F" w:rsidRPr="00840DE3">
              <w:rPr>
                <w:webHidden/>
              </w:rPr>
              <w:fldChar w:fldCharType="begin"/>
            </w:r>
            <w:r w:rsidR="0024402F" w:rsidRPr="00840DE3">
              <w:rPr>
                <w:webHidden/>
              </w:rPr>
              <w:instrText xml:space="preserve"> PAGEREF _Toc515553656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7365FDAA" w14:textId="77777777" w:rsidR="0024402F" w:rsidRPr="00840DE3" w:rsidRDefault="002E5DE6">
          <w:pPr>
            <w:pStyle w:val="TOC2"/>
            <w:rPr>
              <w:rFonts w:eastAsiaTheme="minorEastAsia"/>
              <w:sz w:val="22"/>
            </w:rPr>
          </w:pPr>
          <w:hyperlink w:anchor="_Toc515553657" w:history="1">
            <w:r w:rsidR="0024402F" w:rsidRPr="00840DE3">
              <w:rPr>
                <w:rStyle w:val="Hyperlink"/>
              </w:rPr>
              <w:t>4.5</w:t>
            </w:r>
            <w:r w:rsidR="0024402F" w:rsidRPr="00840DE3">
              <w:rPr>
                <w:rFonts w:eastAsiaTheme="minorEastAsia"/>
                <w:sz w:val="22"/>
              </w:rPr>
              <w:tab/>
            </w:r>
            <w:r w:rsidR="0024402F" w:rsidRPr="00840DE3">
              <w:rPr>
                <w:rStyle w:val="Hyperlink"/>
              </w:rPr>
              <w:t>Scenario: Two oral drugs</w:t>
            </w:r>
            <w:r w:rsidR="0024402F" w:rsidRPr="00840DE3">
              <w:rPr>
                <w:webHidden/>
              </w:rPr>
              <w:tab/>
            </w:r>
            <w:r w:rsidR="0024402F" w:rsidRPr="00840DE3">
              <w:rPr>
                <w:webHidden/>
              </w:rPr>
              <w:fldChar w:fldCharType="begin"/>
            </w:r>
            <w:r w:rsidR="0024402F" w:rsidRPr="00840DE3">
              <w:rPr>
                <w:webHidden/>
              </w:rPr>
              <w:instrText xml:space="preserve"> PAGEREF _Toc515553657 \h </w:instrText>
            </w:r>
            <w:r w:rsidR="0024402F" w:rsidRPr="00840DE3">
              <w:rPr>
                <w:webHidden/>
              </w:rPr>
            </w:r>
            <w:r w:rsidR="0024402F" w:rsidRPr="00840DE3">
              <w:rPr>
                <w:webHidden/>
              </w:rPr>
              <w:fldChar w:fldCharType="separate"/>
            </w:r>
            <w:r w:rsidR="0024402F" w:rsidRPr="00840DE3">
              <w:rPr>
                <w:webHidden/>
              </w:rPr>
              <w:t>27</w:t>
            </w:r>
            <w:r w:rsidR="0024402F" w:rsidRPr="00840DE3">
              <w:rPr>
                <w:webHidden/>
              </w:rPr>
              <w:fldChar w:fldCharType="end"/>
            </w:r>
          </w:hyperlink>
        </w:p>
        <w:p w14:paraId="2AC16236" w14:textId="77777777" w:rsidR="0024402F" w:rsidRPr="00840DE3" w:rsidRDefault="002E5DE6">
          <w:pPr>
            <w:pStyle w:val="TOC1"/>
            <w:rPr>
              <w:rFonts w:eastAsiaTheme="minorEastAsia"/>
              <w:sz w:val="22"/>
            </w:rPr>
          </w:pPr>
          <w:hyperlink w:anchor="_Toc515553658" w:history="1">
            <w:r w:rsidR="0024402F" w:rsidRPr="00840DE3">
              <w:rPr>
                <w:rStyle w:val="Hyperlink"/>
              </w:rPr>
              <w:t>5.0</w:t>
            </w:r>
            <w:r w:rsidR="0024402F" w:rsidRPr="00840DE3">
              <w:rPr>
                <w:rFonts w:eastAsiaTheme="minorEastAsia"/>
                <w:sz w:val="22"/>
              </w:rPr>
              <w:tab/>
            </w:r>
            <w:r w:rsidR="0024402F" w:rsidRPr="00840DE3">
              <w:rPr>
                <w:rStyle w:val="Hyperlink"/>
              </w:rPr>
              <w:t>Additional Messages</w:t>
            </w:r>
            <w:r w:rsidR="0024402F" w:rsidRPr="00840DE3">
              <w:rPr>
                <w:webHidden/>
              </w:rPr>
              <w:tab/>
            </w:r>
            <w:r w:rsidR="0024402F" w:rsidRPr="00840DE3">
              <w:rPr>
                <w:webHidden/>
              </w:rPr>
              <w:fldChar w:fldCharType="begin"/>
            </w:r>
            <w:r w:rsidR="0024402F" w:rsidRPr="00840DE3">
              <w:rPr>
                <w:webHidden/>
              </w:rPr>
              <w:instrText xml:space="preserve"> PAGEREF _Toc515553658 \h </w:instrText>
            </w:r>
            <w:r w:rsidR="0024402F" w:rsidRPr="00840DE3">
              <w:rPr>
                <w:webHidden/>
              </w:rPr>
            </w:r>
            <w:r w:rsidR="0024402F" w:rsidRPr="00840DE3">
              <w:rPr>
                <w:webHidden/>
              </w:rPr>
              <w:fldChar w:fldCharType="separate"/>
            </w:r>
            <w:r w:rsidR="0024402F" w:rsidRPr="00840DE3">
              <w:rPr>
                <w:webHidden/>
              </w:rPr>
              <w:t>31</w:t>
            </w:r>
            <w:r w:rsidR="0024402F" w:rsidRPr="00840DE3">
              <w:rPr>
                <w:webHidden/>
              </w:rPr>
              <w:fldChar w:fldCharType="end"/>
            </w:r>
          </w:hyperlink>
        </w:p>
        <w:p w14:paraId="57E18A68" w14:textId="77777777" w:rsidR="0024402F" w:rsidRPr="00840DE3" w:rsidRDefault="002E5DE6">
          <w:pPr>
            <w:pStyle w:val="TOC1"/>
            <w:tabs>
              <w:tab w:val="left" w:pos="1800"/>
            </w:tabs>
            <w:rPr>
              <w:rFonts w:eastAsiaTheme="minorEastAsia"/>
              <w:sz w:val="22"/>
            </w:rPr>
          </w:pPr>
          <w:hyperlink w:anchor="_Toc515553659" w:history="1">
            <w:r w:rsidR="0024402F" w:rsidRPr="00840DE3">
              <w:rPr>
                <w:rStyle w:val="Hyperlink"/>
              </w:rPr>
              <w:t>Appendix A:</w:t>
            </w:r>
            <w:r w:rsidR="0024402F" w:rsidRPr="00840DE3">
              <w:rPr>
                <w:rFonts w:eastAsiaTheme="minorEastAsia"/>
                <w:sz w:val="22"/>
              </w:rPr>
              <w:tab/>
            </w:r>
            <w:r w:rsidR="0024402F" w:rsidRPr="00840DE3">
              <w:rPr>
                <w:rStyle w:val="Hyperlink"/>
              </w:rPr>
              <w:t>ICD-9 and ICD-10 Codes for DM-2</w:t>
            </w:r>
            <w:r w:rsidR="0024402F" w:rsidRPr="00840DE3">
              <w:rPr>
                <w:webHidden/>
              </w:rPr>
              <w:tab/>
            </w:r>
            <w:r w:rsidR="0024402F" w:rsidRPr="00840DE3">
              <w:rPr>
                <w:webHidden/>
              </w:rPr>
              <w:fldChar w:fldCharType="begin"/>
            </w:r>
            <w:r w:rsidR="0024402F" w:rsidRPr="00840DE3">
              <w:rPr>
                <w:webHidden/>
              </w:rPr>
              <w:instrText xml:space="preserve"> PAGEREF _Toc515553659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02879AFE" w14:textId="4F9EDF9B" w:rsidR="0024402F" w:rsidRPr="00840DE3" w:rsidRDefault="002E5DE6">
          <w:pPr>
            <w:pStyle w:val="TOC2"/>
            <w:rPr>
              <w:rFonts w:eastAsiaTheme="minorEastAsia"/>
              <w:sz w:val="22"/>
            </w:rPr>
          </w:pPr>
          <w:hyperlink w:anchor="_Toc515553660"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_Toc515553660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2751A245" w14:textId="1262093C" w:rsidR="0024402F" w:rsidRPr="00840DE3" w:rsidRDefault="002E5DE6">
          <w:pPr>
            <w:pStyle w:val="TOC2"/>
            <w:rPr>
              <w:rFonts w:eastAsiaTheme="minorEastAsia"/>
              <w:sz w:val="22"/>
            </w:rPr>
          </w:pPr>
          <w:hyperlink w:anchor="_Toc515553661"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_Toc515553661 \h </w:instrText>
            </w:r>
            <w:r w:rsidR="0024402F" w:rsidRPr="00840DE3">
              <w:rPr>
                <w:webHidden/>
              </w:rPr>
            </w:r>
            <w:r w:rsidR="0024402F" w:rsidRPr="00840DE3">
              <w:rPr>
                <w:webHidden/>
              </w:rPr>
              <w:fldChar w:fldCharType="separate"/>
            </w:r>
            <w:r w:rsidR="0024402F" w:rsidRPr="00840DE3">
              <w:rPr>
                <w:webHidden/>
              </w:rPr>
              <w:t>37</w:t>
            </w:r>
            <w:r w:rsidR="0024402F" w:rsidRPr="00840DE3">
              <w:rPr>
                <w:webHidden/>
              </w:rPr>
              <w:fldChar w:fldCharType="end"/>
            </w:r>
          </w:hyperlink>
        </w:p>
        <w:p w14:paraId="01CAFA0E" w14:textId="77777777" w:rsidR="0024402F" w:rsidRPr="00840DE3" w:rsidRDefault="002E5DE6">
          <w:pPr>
            <w:pStyle w:val="TOC1"/>
            <w:tabs>
              <w:tab w:val="left" w:pos="1800"/>
            </w:tabs>
            <w:rPr>
              <w:rFonts w:eastAsiaTheme="minorEastAsia"/>
              <w:sz w:val="22"/>
            </w:rPr>
          </w:pPr>
          <w:hyperlink w:anchor="_Toc515553662" w:history="1">
            <w:r w:rsidR="0024402F" w:rsidRPr="00840DE3">
              <w:rPr>
                <w:rStyle w:val="Hyperlink"/>
              </w:rPr>
              <w:t>Appendix B:</w:t>
            </w:r>
            <w:r w:rsidR="0024402F" w:rsidRPr="00840DE3">
              <w:rPr>
                <w:rFonts w:eastAsiaTheme="minorEastAsia"/>
                <w:sz w:val="22"/>
              </w:rPr>
              <w:tab/>
            </w:r>
            <w:r w:rsidR="0024402F" w:rsidRPr="00840DE3">
              <w:rPr>
                <w:rStyle w:val="Hyperlink"/>
              </w:rPr>
              <w:t>Glycemic Control Medications</w:t>
            </w:r>
            <w:r w:rsidR="0024402F" w:rsidRPr="00840DE3">
              <w:rPr>
                <w:webHidden/>
              </w:rPr>
              <w:tab/>
            </w:r>
            <w:r w:rsidR="0024402F" w:rsidRPr="00840DE3">
              <w:rPr>
                <w:webHidden/>
              </w:rPr>
              <w:fldChar w:fldCharType="begin"/>
            </w:r>
            <w:r w:rsidR="0024402F" w:rsidRPr="00840DE3">
              <w:rPr>
                <w:webHidden/>
              </w:rPr>
              <w:instrText xml:space="preserve"> PAGEREF _Toc515553662 \h </w:instrText>
            </w:r>
            <w:r w:rsidR="0024402F" w:rsidRPr="00840DE3">
              <w:rPr>
                <w:webHidden/>
              </w:rPr>
            </w:r>
            <w:r w:rsidR="0024402F" w:rsidRPr="00840DE3">
              <w:rPr>
                <w:webHidden/>
              </w:rPr>
              <w:fldChar w:fldCharType="separate"/>
            </w:r>
            <w:r w:rsidR="0024402F" w:rsidRPr="00840DE3">
              <w:rPr>
                <w:webHidden/>
              </w:rPr>
              <w:t>46</w:t>
            </w:r>
            <w:r w:rsidR="0024402F" w:rsidRPr="00840DE3">
              <w:rPr>
                <w:webHidden/>
              </w:rPr>
              <w:fldChar w:fldCharType="end"/>
            </w:r>
          </w:hyperlink>
        </w:p>
        <w:p w14:paraId="62E78C0D" w14:textId="77777777" w:rsidR="0024402F" w:rsidRPr="00840DE3" w:rsidRDefault="002E5DE6">
          <w:pPr>
            <w:pStyle w:val="TOC1"/>
            <w:tabs>
              <w:tab w:val="left" w:pos="1800"/>
            </w:tabs>
            <w:rPr>
              <w:rFonts w:eastAsiaTheme="minorEastAsia"/>
              <w:sz w:val="22"/>
            </w:rPr>
          </w:pPr>
          <w:hyperlink w:anchor="_Toc515553663" w:history="1">
            <w:r w:rsidR="0024402F" w:rsidRPr="00840DE3">
              <w:rPr>
                <w:rStyle w:val="Hyperlink"/>
              </w:rPr>
              <w:t>Appendix C:</w:t>
            </w:r>
            <w:r w:rsidR="0024402F" w:rsidRPr="00840DE3">
              <w:rPr>
                <w:rFonts w:eastAsiaTheme="minorEastAsia"/>
                <w:sz w:val="22"/>
              </w:rPr>
              <w:tab/>
            </w:r>
            <w:r w:rsidR="0024402F" w:rsidRPr="00840DE3">
              <w:rPr>
                <w:rStyle w:val="Hyperlink"/>
              </w:rPr>
              <w:t>List of Encoded Drugs</w:t>
            </w:r>
            <w:r w:rsidR="0024402F" w:rsidRPr="00840DE3">
              <w:rPr>
                <w:webHidden/>
              </w:rPr>
              <w:tab/>
            </w:r>
            <w:r w:rsidR="0024402F" w:rsidRPr="00840DE3">
              <w:rPr>
                <w:webHidden/>
              </w:rPr>
              <w:fldChar w:fldCharType="begin"/>
            </w:r>
            <w:r w:rsidR="0024402F" w:rsidRPr="00840DE3">
              <w:rPr>
                <w:webHidden/>
              </w:rPr>
              <w:instrText xml:space="preserve"> PAGEREF _Toc515553663 \h </w:instrText>
            </w:r>
            <w:r w:rsidR="0024402F" w:rsidRPr="00840DE3">
              <w:rPr>
                <w:webHidden/>
              </w:rPr>
            </w:r>
            <w:r w:rsidR="0024402F" w:rsidRPr="00840DE3">
              <w:rPr>
                <w:webHidden/>
              </w:rPr>
              <w:fldChar w:fldCharType="separate"/>
            </w:r>
            <w:r w:rsidR="0024402F" w:rsidRPr="00840DE3">
              <w:rPr>
                <w:webHidden/>
              </w:rPr>
              <w:t>48</w:t>
            </w:r>
            <w:r w:rsidR="0024402F" w:rsidRPr="00840DE3">
              <w:rPr>
                <w:webHidden/>
              </w:rPr>
              <w:fldChar w:fldCharType="end"/>
            </w:r>
          </w:hyperlink>
        </w:p>
        <w:p w14:paraId="67F4CBEE" w14:textId="77777777" w:rsidR="0024402F" w:rsidRPr="00840DE3" w:rsidRDefault="002E5DE6">
          <w:pPr>
            <w:pStyle w:val="TOC1"/>
            <w:tabs>
              <w:tab w:val="left" w:pos="1800"/>
            </w:tabs>
            <w:rPr>
              <w:rFonts w:eastAsiaTheme="minorEastAsia"/>
              <w:sz w:val="22"/>
            </w:rPr>
          </w:pPr>
          <w:hyperlink w:anchor="_Toc515553664" w:history="1">
            <w:r w:rsidR="0024402F" w:rsidRPr="00840DE3">
              <w:rPr>
                <w:rStyle w:val="Hyperlink"/>
              </w:rPr>
              <w:t>Appendix D:</w:t>
            </w:r>
            <w:r w:rsidR="0024402F" w:rsidRPr="00840DE3">
              <w:rPr>
                <w:rFonts w:eastAsiaTheme="minorEastAsia"/>
                <w:sz w:val="22"/>
              </w:rPr>
              <w:tab/>
            </w:r>
            <w:r w:rsidR="0024402F" w:rsidRPr="00840DE3">
              <w:rPr>
                <w:rStyle w:val="Hyperlink"/>
              </w:rPr>
              <w:t>List of Non-encoded Drugs</w:t>
            </w:r>
            <w:r w:rsidR="0024402F" w:rsidRPr="00840DE3">
              <w:rPr>
                <w:webHidden/>
              </w:rPr>
              <w:tab/>
            </w:r>
            <w:r w:rsidR="0024402F" w:rsidRPr="00840DE3">
              <w:rPr>
                <w:webHidden/>
              </w:rPr>
              <w:fldChar w:fldCharType="begin"/>
            </w:r>
            <w:r w:rsidR="0024402F" w:rsidRPr="00840DE3">
              <w:rPr>
                <w:webHidden/>
              </w:rPr>
              <w:instrText xml:space="preserve"> PAGEREF _Toc515553664 \h </w:instrText>
            </w:r>
            <w:r w:rsidR="0024402F" w:rsidRPr="00840DE3">
              <w:rPr>
                <w:webHidden/>
              </w:rPr>
            </w:r>
            <w:r w:rsidR="0024402F" w:rsidRPr="00840DE3">
              <w:rPr>
                <w:webHidden/>
              </w:rPr>
              <w:fldChar w:fldCharType="separate"/>
            </w:r>
            <w:r w:rsidR="0024402F" w:rsidRPr="00840DE3">
              <w:rPr>
                <w:webHidden/>
              </w:rPr>
              <w:t>49</w:t>
            </w:r>
            <w:r w:rsidR="0024402F" w:rsidRPr="00840DE3">
              <w:rPr>
                <w:webHidden/>
              </w:rPr>
              <w:fldChar w:fldCharType="end"/>
            </w:r>
          </w:hyperlink>
        </w:p>
        <w:p w14:paraId="354047F2" w14:textId="77777777" w:rsidR="0024402F" w:rsidRPr="00840DE3" w:rsidRDefault="002E5DE6">
          <w:pPr>
            <w:pStyle w:val="TOC1"/>
            <w:tabs>
              <w:tab w:val="left" w:pos="1800"/>
            </w:tabs>
            <w:rPr>
              <w:rFonts w:eastAsiaTheme="minorEastAsia"/>
              <w:sz w:val="22"/>
            </w:rPr>
          </w:pPr>
          <w:hyperlink w:anchor="_Toc515553665" w:history="1">
            <w:r w:rsidR="0024402F" w:rsidRPr="00840DE3">
              <w:rPr>
                <w:rStyle w:val="Hyperlink"/>
              </w:rPr>
              <w:t>Appendix E:</w:t>
            </w:r>
            <w:r w:rsidR="0024402F" w:rsidRPr="00840DE3">
              <w:rPr>
                <w:rFonts w:eastAsiaTheme="minorEastAsia"/>
                <w:sz w:val="22"/>
              </w:rPr>
              <w:tab/>
            </w:r>
            <w:r w:rsidR="0024402F" w:rsidRPr="00840DE3">
              <w:rPr>
                <w:rStyle w:val="Hyperlink"/>
              </w:rPr>
              <w:t>List of First-generation Sulfonylureas</w:t>
            </w:r>
            <w:r w:rsidR="0024402F" w:rsidRPr="00840DE3">
              <w:rPr>
                <w:webHidden/>
              </w:rPr>
              <w:tab/>
            </w:r>
            <w:r w:rsidR="0024402F" w:rsidRPr="00840DE3">
              <w:rPr>
                <w:webHidden/>
              </w:rPr>
              <w:fldChar w:fldCharType="begin"/>
            </w:r>
            <w:r w:rsidR="0024402F" w:rsidRPr="00840DE3">
              <w:rPr>
                <w:webHidden/>
              </w:rPr>
              <w:instrText xml:space="preserve"> PAGEREF _Toc515553665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7E14EA9F" w14:textId="77777777" w:rsidR="0024402F" w:rsidRPr="00840DE3" w:rsidRDefault="002E5DE6">
          <w:pPr>
            <w:pStyle w:val="TOC1"/>
            <w:tabs>
              <w:tab w:val="left" w:pos="1800"/>
            </w:tabs>
            <w:rPr>
              <w:rFonts w:eastAsiaTheme="minorEastAsia"/>
              <w:sz w:val="22"/>
            </w:rPr>
          </w:pPr>
          <w:hyperlink w:anchor="_Toc515553666" w:history="1">
            <w:r w:rsidR="0024402F" w:rsidRPr="00840DE3">
              <w:rPr>
                <w:rStyle w:val="Hyperlink"/>
              </w:rPr>
              <w:t>Appendix F:</w:t>
            </w:r>
            <w:r w:rsidR="0024402F" w:rsidRPr="00840DE3">
              <w:rPr>
                <w:rFonts w:eastAsiaTheme="minorEastAsia"/>
                <w:sz w:val="22"/>
              </w:rPr>
              <w:tab/>
            </w:r>
            <w:r w:rsidR="0024402F" w:rsidRPr="00840DE3">
              <w:rPr>
                <w:rStyle w:val="Hyperlink"/>
              </w:rPr>
              <w:t>List of Sulfa Drugs</w:t>
            </w:r>
            <w:r w:rsidR="0024402F" w:rsidRPr="00840DE3">
              <w:rPr>
                <w:webHidden/>
              </w:rPr>
              <w:tab/>
            </w:r>
            <w:r w:rsidR="0024402F" w:rsidRPr="00840DE3">
              <w:rPr>
                <w:webHidden/>
              </w:rPr>
              <w:fldChar w:fldCharType="begin"/>
            </w:r>
            <w:r w:rsidR="0024402F" w:rsidRPr="00840DE3">
              <w:rPr>
                <w:webHidden/>
              </w:rPr>
              <w:instrText xml:space="preserve"> PAGEREF _Toc515553666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0379E28E" w14:textId="77777777" w:rsidR="0024402F" w:rsidRPr="00840DE3" w:rsidRDefault="002E5DE6">
          <w:pPr>
            <w:pStyle w:val="TOC1"/>
            <w:tabs>
              <w:tab w:val="left" w:pos="1800"/>
            </w:tabs>
            <w:rPr>
              <w:rFonts w:eastAsiaTheme="minorEastAsia"/>
              <w:sz w:val="22"/>
            </w:rPr>
          </w:pPr>
          <w:hyperlink w:anchor="_Toc515553667" w:history="1">
            <w:r w:rsidR="0024402F" w:rsidRPr="00840DE3">
              <w:rPr>
                <w:rStyle w:val="Hyperlink"/>
              </w:rPr>
              <w:t>Appendix G:</w:t>
            </w:r>
            <w:r w:rsidR="0024402F" w:rsidRPr="00840DE3">
              <w:rPr>
                <w:rFonts w:eastAsiaTheme="minorEastAsia"/>
                <w:sz w:val="22"/>
              </w:rPr>
              <w:tab/>
            </w:r>
            <w:r w:rsidR="0024402F" w:rsidRPr="00840DE3">
              <w:rPr>
                <w:rStyle w:val="Hyperlink"/>
              </w:rPr>
              <w:t>CVD Codes for use with Empaglifozin</w:t>
            </w:r>
            <w:r w:rsidR="0024402F" w:rsidRPr="00840DE3">
              <w:rPr>
                <w:webHidden/>
              </w:rPr>
              <w:tab/>
            </w:r>
            <w:r w:rsidR="0024402F" w:rsidRPr="00840DE3">
              <w:rPr>
                <w:webHidden/>
              </w:rPr>
              <w:fldChar w:fldCharType="begin"/>
            </w:r>
            <w:r w:rsidR="0024402F" w:rsidRPr="00840DE3">
              <w:rPr>
                <w:webHidden/>
              </w:rPr>
              <w:instrText xml:space="preserve"> PAGEREF _Toc515553667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75F520BF" w14:textId="7BF1DC2A" w:rsidR="0024402F" w:rsidRPr="00840DE3" w:rsidRDefault="002E5DE6">
          <w:pPr>
            <w:pStyle w:val="TOC2"/>
            <w:rPr>
              <w:rFonts w:eastAsiaTheme="minorEastAsia"/>
              <w:sz w:val="22"/>
            </w:rPr>
          </w:pPr>
          <w:hyperlink w:anchor="_Toc515553668"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_Toc515553668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57F6444F" w14:textId="09ACCC1E" w:rsidR="0024402F" w:rsidRPr="00840DE3" w:rsidRDefault="002E5DE6">
          <w:pPr>
            <w:pStyle w:val="TOC2"/>
            <w:rPr>
              <w:rFonts w:eastAsiaTheme="minorEastAsia"/>
              <w:sz w:val="22"/>
            </w:rPr>
          </w:pPr>
          <w:hyperlink w:anchor="_Toc515553669"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_Toc515553669 \h </w:instrText>
            </w:r>
            <w:r w:rsidR="0024402F" w:rsidRPr="00840DE3">
              <w:rPr>
                <w:webHidden/>
              </w:rPr>
            </w:r>
            <w:r w:rsidR="0024402F" w:rsidRPr="00840DE3">
              <w:rPr>
                <w:webHidden/>
              </w:rPr>
              <w:fldChar w:fldCharType="separate"/>
            </w:r>
            <w:r w:rsidR="0024402F" w:rsidRPr="00840DE3">
              <w:rPr>
                <w:webHidden/>
              </w:rPr>
              <w:t>71</w:t>
            </w:r>
            <w:r w:rsidR="0024402F" w:rsidRPr="00840DE3">
              <w:rPr>
                <w:webHidden/>
              </w:rPr>
              <w:fldChar w:fldCharType="end"/>
            </w:r>
          </w:hyperlink>
        </w:p>
        <w:p w14:paraId="1DA76D62" w14:textId="77777777" w:rsidR="0024402F" w:rsidRPr="00840DE3" w:rsidRDefault="002E5DE6">
          <w:pPr>
            <w:pStyle w:val="TOC1"/>
            <w:tabs>
              <w:tab w:val="left" w:pos="1800"/>
            </w:tabs>
            <w:rPr>
              <w:rFonts w:eastAsiaTheme="minorEastAsia"/>
              <w:sz w:val="22"/>
            </w:rPr>
          </w:pPr>
          <w:hyperlink w:anchor="_Toc515553670" w:history="1">
            <w:r w:rsidR="0024402F" w:rsidRPr="00840DE3">
              <w:rPr>
                <w:rStyle w:val="Hyperlink"/>
              </w:rPr>
              <w:t>Appendix H:</w:t>
            </w:r>
            <w:r w:rsidR="0024402F" w:rsidRPr="00840DE3">
              <w:rPr>
                <w:rFonts w:eastAsiaTheme="minorEastAsia"/>
                <w:sz w:val="22"/>
              </w:rPr>
              <w:tab/>
            </w:r>
            <w:r w:rsidR="0024402F" w:rsidRPr="00840DE3">
              <w:rPr>
                <w:rStyle w:val="Hyperlink"/>
              </w:rPr>
              <w:t>Medication Cutoff Doses</w:t>
            </w:r>
            <w:r w:rsidR="0024402F" w:rsidRPr="00840DE3">
              <w:rPr>
                <w:webHidden/>
              </w:rPr>
              <w:tab/>
            </w:r>
            <w:r w:rsidR="0024402F" w:rsidRPr="00840DE3">
              <w:rPr>
                <w:webHidden/>
              </w:rPr>
              <w:fldChar w:fldCharType="begin"/>
            </w:r>
            <w:r w:rsidR="0024402F" w:rsidRPr="00840DE3">
              <w:rPr>
                <w:webHidden/>
              </w:rPr>
              <w:instrText xml:space="preserve"> PAGEREF _Toc515553670 \h </w:instrText>
            </w:r>
            <w:r w:rsidR="0024402F" w:rsidRPr="00840DE3">
              <w:rPr>
                <w:webHidden/>
              </w:rPr>
            </w:r>
            <w:r w:rsidR="0024402F" w:rsidRPr="00840DE3">
              <w:rPr>
                <w:webHidden/>
              </w:rPr>
              <w:fldChar w:fldCharType="separate"/>
            </w:r>
            <w:r w:rsidR="0024402F" w:rsidRPr="00840DE3">
              <w:rPr>
                <w:webHidden/>
              </w:rPr>
              <w:t>149</w:t>
            </w:r>
            <w:r w:rsidR="0024402F" w:rsidRPr="00840DE3">
              <w:rPr>
                <w:webHidden/>
              </w:rPr>
              <w:fldChar w:fldCharType="end"/>
            </w:r>
          </w:hyperlink>
        </w:p>
        <w:p w14:paraId="3B1C048B" w14:textId="77777777" w:rsidR="0024402F" w:rsidRPr="00840DE3" w:rsidRDefault="002E5DE6">
          <w:pPr>
            <w:pStyle w:val="TOC1"/>
            <w:tabs>
              <w:tab w:val="left" w:pos="1800"/>
            </w:tabs>
            <w:rPr>
              <w:rFonts w:eastAsiaTheme="minorEastAsia"/>
              <w:sz w:val="22"/>
            </w:rPr>
          </w:pPr>
          <w:hyperlink w:anchor="_Toc515553671" w:history="1">
            <w:r w:rsidR="0024402F" w:rsidRPr="00840DE3">
              <w:rPr>
                <w:rStyle w:val="Hyperlink"/>
              </w:rPr>
              <w:t>Appendix I:</w:t>
            </w:r>
            <w:r w:rsidR="0024402F" w:rsidRPr="00840DE3">
              <w:rPr>
                <w:rFonts w:eastAsiaTheme="minorEastAsia"/>
                <w:sz w:val="22"/>
              </w:rPr>
              <w:tab/>
            </w:r>
            <w:r w:rsidR="0024402F" w:rsidRPr="00840DE3">
              <w:rPr>
                <w:rStyle w:val="Hyperlink"/>
              </w:rPr>
              <w:t>Dealing with Adverse Reactions (ADRs)</w:t>
            </w:r>
            <w:r w:rsidR="0024402F" w:rsidRPr="00840DE3">
              <w:rPr>
                <w:webHidden/>
              </w:rPr>
              <w:tab/>
            </w:r>
            <w:r w:rsidR="0024402F" w:rsidRPr="00840DE3">
              <w:rPr>
                <w:webHidden/>
              </w:rPr>
              <w:fldChar w:fldCharType="begin"/>
            </w:r>
            <w:r w:rsidR="0024402F" w:rsidRPr="00840DE3">
              <w:rPr>
                <w:webHidden/>
              </w:rPr>
              <w:instrText xml:space="preserve"> PAGEREF _Toc515553671 \h </w:instrText>
            </w:r>
            <w:r w:rsidR="0024402F" w:rsidRPr="00840DE3">
              <w:rPr>
                <w:webHidden/>
              </w:rPr>
            </w:r>
            <w:r w:rsidR="0024402F" w:rsidRPr="00840DE3">
              <w:rPr>
                <w:webHidden/>
              </w:rPr>
              <w:fldChar w:fldCharType="separate"/>
            </w:r>
            <w:r w:rsidR="0024402F" w:rsidRPr="00840DE3">
              <w:rPr>
                <w:webHidden/>
              </w:rPr>
              <w:t>151</w:t>
            </w:r>
            <w:r w:rsidR="0024402F" w:rsidRPr="00840DE3">
              <w:rPr>
                <w:webHidden/>
              </w:rPr>
              <w:fldChar w:fldCharType="end"/>
            </w:r>
          </w:hyperlink>
        </w:p>
        <w:p w14:paraId="3CE72E53" w14:textId="77777777" w:rsidR="0024402F" w:rsidRPr="00840DE3" w:rsidRDefault="002E5DE6">
          <w:pPr>
            <w:pStyle w:val="TOC1"/>
            <w:tabs>
              <w:tab w:val="left" w:pos="1800"/>
            </w:tabs>
            <w:rPr>
              <w:rFonts w:eastAsiaTheme="minorEastAsia"/>
              <w:sz w:val="22"/>
            </w:rPr>
          </w:pPr>
          <w:hyperlink w:anchor="_Toc515553672" w:history="1">
            <w:r w:rsidR="0024402F" w:rsidRPr="00840DE3">
              <w:rPr>
                <w:rStyle w:val="Hyperlink"/>
              </w:rPr>
              <w:t>Appendix J:</w:t>
            </w:r>
            <w:r w:rsidR="0024402F" w:rsidRPr="00840DE3">
              <w:rPr>
                <w:rFonts w:eastAsiaTheme="minorEastAsia"/>
                <w:sz w:val="22"/>
              </w:rPr>
              <w:tab/>
            </w:r>
            <w:r w:rsidR="0024402F" w:rsidRPr="00840DE3">
              <w:rPr>
                <w:rStyle w:val="Hyperlink"/>
              </w:rPr>
              <w:t>Examples using Sample Patient Characteristics</w:t>
            </w:r>
            <w:r w:rsidR="0024402F" w:rsidRPr="00840DE3">
              <w:rPr>
                <w:webHidden/>
              </w:rPr>
              <w:tab/>
            </w:r>
            <w:r w:rsidR="0024402F" w:rsidRPr="00840DE3">
              <w:rPr>
                <w:webHidden/>
              </w:rPr>
              <w:fldChar w:fldCharType="begin"/>
            </w:r>
            <w:r w:rsidR="0024402F" w:rsidRPr="00840DE3">
              <w:rPr>
                <w:webHidden/>
              </w:rPr>
              <w:instrText xml:space="preserve"> PAGEREF _Toc515553672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BE8FA3A" w14:textId="77777777" w:rsidR="0024402F" w:rsidRPr="00840DE3" w:rsidRDefault="002E5DE6">
          <w:pPr>
            <w:pStyle w:val="TOC2"/>
            <w:rPr>
              <w:rFonts w:eastAsiaTheme="minorEastAsia"/>
              <w:sz w:val="22"/>
            </w:rPr>
          </w:pPr>
          <w:hyperlink w:anchor="_Toc515553673" w:history="1">
            <w:r w:rsidR="0024402F" w:rsidRPr="00840DE3">
              <w:rPr>
                <w:rStyle w:val="Hyperlink"/>
              </w:rPr>
              <w:t>One drug Scenario</w:t>
            </w:r>
            <w:r w:rsidR="0024402F" w:rsidRPr="00840DE3">
              <w:rPr>
                <w:webHidden/>
              </w:rPr>
              <w:tab/>
            </w:r>
            <w:r w:rsidR="0024402F" w:rsidRPr="00840DE3">
              <w:rPr>
                <w:webHidden/>
              </w:rPr>
              <w:fldChar w:fldCharType="begin"/>
            </w:r>
            <w:r w:rsidR="0024402F" w:rsidRPr="00840DE3">
              <w:rPr>
                <w:webHidden/>
              </w:rPr>
              <w:instrText xml:space="preserve"> PAGEREF _Toc515553673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3D42EE8" w14:textId="77777777" w:rsidR="0024402F" w:rsidRPr="00840DE3" w:rsidRDefault="002E5DE6">
          <w:pPr>
            <w:pStyle w:val="TOC2"/>
            <w:rPr>
              <w:rFonts w:eastAsiaTheme="minorEastAsia"/>
              <w:sz w:val="22"/>
            </w:rPr>
          </w:pPr>
          <w:hyperlink w:anchor="_Toc515553674" w:history="1">
            <w:r w:rsidR="0024402F" w:rsidRPr="00840DE3">
              <w:rPr>
                <w:rStyle w:val="Hyperlink"/>
              </w:rPr>
              <w:t>Two drug Scenario</w:t>
            </w:r>
            <w:r w:rsidR="0024402F" w:rsidRPr="00840DE3">
              <w:rPr>
                <w:webHidden/>
              </w:rPr>
              <w:tab/>
            </w:r>
            <w:r w:rsidR="0024402F" w:rsidRPr="00840DE3">
              <w:rPr>
                <w:webHidden/>
              </w:rPr>
              <w:fldChar w:fldCharType="begin"/>
            </w:r>
            <w:r w:rsidR="0024402F" w:rsidRPr="00840DE3">
              <w:rPr>
                <w:webHidden/>
              </w:rPr>
              <w:instrText xml:space="preserve"> PAGEREF _Toc515553674 \h </w:instrText>
            </w:r>
            <w:r w:rsidR="0024402F" w:rsidRPr="00840DE3">
              <w:rPr>
                <w:webHidden/>
              </w:rPr>
            </w:r>
            <w:r w:rsidR="0024402F" w:rsidRPr="00840DE3">
              <w:rPr>
                <w:webHidden/>
              </w:rPr>
              <w:fldChar w:fldCharType="separate"/>
            </w:r>
            <w:r w:rsidR="0024402F" w:rsidRPr="00840DE3">
              <w:rPr>
                <w:webHidden/>
              </w:rPr>
              <w:t>154</w:t>
            </w:r>
            <w:r w:rsidR="0024402F" w:rsidRPr="00840DE3">
              <w:rPr>
                <w:webHidden/>
              </w:rPr>
              <w:fldChar w:fldCharType="end"/>
            </w:r>
          </w:hyperlink>
        </w:p>
        <w:p w14:paraId="7E1837B8" w14:textId="77777777" w:rsidR="0024402F" w:rsidRPr="00840DE3" w:rsidRDefault="002E5DE6">
          <w:pPr>
            <w:pStyle w:val="TOC1"/>
            <w:tabs>
              <w:tab w:val="left" w:pos="1800"/>
            </w:tabs>
            <w:rPr>
              <w:rFonts w:eastAsiaTheme="minorEastAsia"/>
              <w:sz w:val="22"/>
            </w:rPr>
          </w:pPr>
          <w:hyperlink w:anchor="_Toc515553675" w:history="1">
            <w:r w:rsidR="0024402F" w:rsidRPr="00840DE3">
              <w:rPr>
                <w:rStyle w:val="Hyperlink"/>
              </w:rPr>
              <w:t>Appendix K:</w:t>
            </w:r>
            <w:r w:rsidR="0024402F" w:rsidRPr="00840DE3">
              <w:rPr>
                <w:rFonts w:eastAsiaTheme="minorEastAsia"/>
                <w:sz w:val="22"/>
              </w:rPr>
              <w:tab/>
            </w:r>
            <w:r w:rsidR="0024402F" w:rsidRPr="00840DE3">
              <w:rPr>
                <w:rStyle w:val="Hyperlink"/>
              </w:rPr>
              <w:t>References</w:t>
            </w:r>
            <w:r w:rsidR="0024402F" w:rsidRPr="00840DE3">
              <w:rPr>
                <w:webHidden/>
              </w:rPr>
              <w:tab/>
            </w:r>
            <w:r w:rsidR="0024402F" w:rsidRPr="00840DE3">
              <w:rPr>
                <w:webHidden/>
              </w:rPr>
              <w:fldChar w:fldCharType="begin"/>
            </w:r>
            <w:r w:rsidR="0024402F" w:rsidRPr="00840DE3">
              <w:rPr>
                <w:webHidden/>
              </w:rPr>
              <w:instrText xml:space="preserve"> PAGEREF _Toc515553675 \h </w:instrText>
            </w:r>
            <w:r w:rsidR="0024402F" w:rsidRPr="00840DE3">
              <w:rPr>
                <w:webHidden/>
              </w:rPr>
            </w:r>
            <w:r w:rsidR="0024402F" w:rsidRPr="00840DE3">
              <w:rPr>
                <w:webHidden/>
              </w:rPr>
              <w:fldChar w:fldCharType="separate"/>
            </w:r>
            <w:r w:rsidR="0024402F" w:rsidRPr="00840DE3">
              <w:rPr>
                <w:webHidden/>
              </w:rPr>
              <w:t>159</w:t>
            </w:r>
            <w:r w:rsidR="0024402F" w:rsidRPr="00840DE3">
              <w:rPr>
                <w:webHidden/>
              </w:rPr>
              <w:fldChar w:fldCharType="end"/>
            </w:r>
          </w:hyperlink>
        </w:p>
        <w:p w14:paraId="021E8BF4" w14:textId="77777777" w:rsidR="0024402F" w:rsidRPr="00840DE3" w:rsidRDefault="002E5DE6">
          <w:pPr>
            <w:pStyle w:val="TOC1"/>
            <w:tabs>
              <w:tab w:val="left" w:pos="1800"/>
            </w:tabs>
            <w:rPr>
              <w:rFonts w:eastAsiaTheme="minorEastAsia"/>
              <w:sz w:val="22"/>
            </w:rPr>
          </w:pPr>
          <w:hyperlink w:anchor="_Toc515553676" w:history="1">
            <w:r w:rsidR="0024402F" w:rsidRPr="00840DE3">
              <w:rPr>
                <w:rStyle w:val="Hyperlink"/>
              </w:rPr>
              <w:t>Appendix L:</w:t>
            </w:r>
            <w:r w:rsidR="0024402F" w:rsidRPr="00840DE3">
              <w:rPr>
                <w:rFonts w:eastAsiaTheme="minorEastAsia"/>
                <w:sz w:val="22"/>
              </w:rPr>
              <w:tab/>
            </w:r>
            <w:r w:rsidR="0024402F" w:rsidRPr="00840DE3">
              <w:rPr>
                <w:rStyle w:val="Hyperlink"/>
              </w:rPr>
              <w:t>Wish list/To do’s</w:t>
            </w:r>
            <w:r w:rsidR="0024402F" w:rsidRPr="00840DE3">
              <w:rPr>
                <w:webHidden/>
              </w:rPr>
              <w:tab/>
            </w:r>
            <w:r w:rsidR="0024402F" w:rsidRPr="00840DE3">
              <w:rPr>
                <w:webHidden/>
              </w:rPr>
              <w:fldChar w:fldCharType="begin"/>
            </w:r>
            <w:r w:rsidR="0024402F" w:rsidRPr="00840DE3">
              <w:rPr>
                <w:webHidden/>
              </w:rPr>
              <w:instrText xml:space="preserve"> PAGEREF _Toc515553676 \h </w:instrText>
            </w:r>
            <w:r w:rsidR="0024402F" w:rsidRPr="00840DE3">
              <w:rPr>
                <w:webHidden/>
              </w:rPr>
            </w:r>
            <w:r w:rsidR="0024402F" w:rsidRPr="00840DE3">
              <w:rPr>
                <w:webHidden/>
              </w:rPr>
              <w:fldChar w:fldCharType="separate"/>
            </w:r>
            <w:r w:rsidR="0024402F" w:rsidRPr="00840DE3">
              <w:rPr>
                <w:webHidden/>
              </w:rPr>
              <w:t>161</w:t>
            </w:r>
            <w:r w:rsidR="0024402F" w:rsidRPr="00840DE3">
              <w:rPr>
                <w:webHidden/>
              </w:rPr>
              <w:fldChar w:fldCharType="end"/>
            </w:r>
          </w:hyperlink>
        </w:p>
        <w:p w14:paraId="1750714B" w14:textId="6920D7EB" w:rsidR="00A31276" w:rsidRPr="00840DE3" w:rsidRDefault="006E001B" w:rsidP="006E001B">
          <w:pPr>
            <w:pStyle w:val="TOCHeading"/>
            <w:rPr>
              <w:b w:val="0"/>
              <w:bCs/>
              <w:noProof/>
            </w:rPr>
          </w:pPr>
          <w:r w:rsidRPr="00840DE3">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1" w:name="_Toc515553639"/>
      <w:r w:rsidRPr="00840DE3">
        <w:t>Overview</w:t>
      </w:r>
      <w:bookmarkEnd w:id="1"/>
    </w:p>
    <w:p w14:paraId="2DA915D1" w14:textId="767AB4F5" w:rsidR="003805D9" w:rsidRPr="00840DE3" w:rsidRDefault="003805D9" w:rsidP="00E54B61">
      <w:pPr>
        <w:pStyle w:val="Heading2"/>
      </w:pPr>
      <w:bookmarkStart w:id="2" w:name="_Toc515553640"/>
      <w:r w:rsidRPr="00840DE3">
        <w:t>Background</w:t>
      </w:r>
      <w:bookmarkEnd w:id="2"/>
    </w:p>
    <w:p w14:paraId="0D502F37" w14:textId="40F065DF" w:rsidR="008F2B86" w:rsidRPr="00840DE3" w:rsidRDefault="00B16470" w:rsidP="001D1DB8">
      <w:pPr>
        <w:rPr>
          <w:sz w:val="28"/>
          <w:szCs w:val="28"/>
        </w:rPr>
      </w:pPr>
      <w:r w:rsidRPr="00840DE3">
        <w:t>The Glycemic Control Protégé KnowledgeBase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End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End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MedSafe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MedSafe CDS project is one of 3 projects in the VA HSR&amp;D MedSafe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brief description of the Clinical Dashboard can be found in </w:t>
      </w:r>
      <w:r w:rsidR="00652893" w:rsidRPr="00840DE3">
        <w:t>r</w:t>
      </w:r>
      <w:r w:rsidR="005068AF" w:rsidRPr="00840DE3">
        <w:t xml:space="preserve">eferences </w:t>
      </w:r>
      <w:sdt>
        <w:sdtPr>
          <w:id w:val="-364672533"/>
          <w:citation/>
        </w:sdtPr>
        <w:sdtEnd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End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3" w:name="_Toc515553641"/>
      <w:r w:rsidRPr="00840DE3">
        <w:t>Use</w:t>
      </w:r>
      <w:r w:rsidR="00B16470" w:rsidRPr="00840DE3">
        <w:t xml:space="preserve"> of the Rules Document</w:t>
      </w:r>
      <w:bookmarkEnd w:id="3"/>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t xml:space="preserve"> </w:t>
      </w:r>
      <w:bookmarkStart w:id="4" w:name="_Toc515553642"/>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4"/>
    </w:p>
    <w:p w14:paraId="0DDA9C89" w14:textId="1F2BFC64" w:rsidR="00253693" w:rsidRPr="00840DE3" w:rsidRDefault="00253693" w:rsidP="00E54B61">
      <w:pPr>
        <w:pStyle w:val="Heading2"/>
      </w:pPr>
      <w:bookmarkStart w:id="5" w:name="_Toc515553643"/>
      <w:r w:rsidRPr="00840DE3">
        <w:t>Eligibility</w:t>
      </w:r>
      <w:bookmarkEnd w:id="5"/>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0B4AE257"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Pr="00840DE3">
        <w:t>has</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3DDE0B6E" w14:textId="7524FA8D" w:rsidR="00792369" w:rsidRDefault="00792369" w:rsidP="00792369">
      <w:pPr>
        <w:ind w:left="720"/>
      </w:pPr>
      <w:r w:rsidRPr="00840DE3">
        <w:t>AND</w:t>
      </w:r>
    </w:p>
    <w:p w14:paraId="26ACE3C4" w14:textId="013D456E" w:rsidR="00E8373E" w:rsidRDefault="00E8373E" w:rsidP="00E8373E">
      <w:pPr>
        <w:pStyle w:val="ListParagraph"/>
        <w:numPr>
          <w:ilvl w:val="0"/>
          <w:numId w:val="5"/>
        </w:numPr>
      </w:pPr>
      <w:r>
        <w:t>HbA1c&gt;9 or Glycohemoglobin&gt;11</w:t>
      </w:r>
    </w:p>
    <w:p w14:paraId="269D4C94" w14:textId="7FBF7CAD" w:rsidR="00E8373E" w:rsidRPr="00840DE3" w:rsidRDefault="00E8373E" w:rsidP="00E8373E">
      <w:pPr>
        <w:ind w:left="720"/>
      </w:pPr>
      <w:r>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r w:rsidRPr="00840DE3">
        <w:t>Pregnant Patients</w:t>
      </w:r>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383C9C83" w14:textId="1BB18C5C" w:rsidR="00536260" w:rsidRPr="00840DE3" w:rsidRDefault="00994CE4" w:rsidP="005B2445">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084D1573" w14:textId="0CD12218" w:rsidR="00B46150" w:rsidRPr="00840DE3" w:rsidRDefault="00B46150" w:rsidP="00E54B61">
      <w:pPr>
        <w:pStyle w:val="Heading2"/>
      </w:pPr>
      <w:bookmarkStart w:id="6" w:name="_Toc515553644"/>
      <w:bookmarkStart w:id="7" w:name="_Hlk518380900"/>
      <w:r w:rsidRPr="00840DE3">
        <w:t>Goal</w:t>
      </w:r>
      <w:r w:rsidR="00E54B61" w:rsidRPr="00840DE3">
        <w:t>s</w:t>
      </w:r>
      <w:bookmarkEnd w:id="6"/>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24C45F5E" w14:textId="58ABE305" w:rsidR="0018074B" w:rsidRDefault="00C97499" w:rsidP="0018074B">
      <w:r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4F6775">
        <w:t xml:space="preserve">Because the CDS is triggered only when the patient is not at goal, </w:t>
      </w:r>
      <w:bookmarkStart w:id="8" w:name="_Ref491854574"/>
      <w:bookmarkStart w:id="9" w:name="_Ref491855224"/>
      <w:bookmarkStart w:id="10" w:name="_Toc515553645"/>
      <w:bookmarkEnd w:id="7"/>
      <w:r w:rsidR="0018074B">
        <w:t>the eligibility criteria, “HbA1c&gt;9 or glycosylated hemoglobin&gt;11” (See above) was selected to be consistent with this goal.</w:t>
      </w:r>
    </w:p>
    <w:p w14:paraId="3024D8F2" w14:textId="6A0F647D" w:rsidR="00D40418" w:rsidRPr="00840DE3" w:rsidRDefault="0040039E" w:rsidP="0018074B">
      <w:r w:rsidRPr="00840DE3">
        <w:t>Limitations</w:t>
      </w:r>
      <w:bookmarkEnd w:id="8"/>
      <w:bookmarkEnd w:id="9"/>
      <w:bookmarkEnd w:id="10"/>
    </w:p>
    <w:p w14:paraId="02429183" w14:textId="5A0A1725" w:rsidR="002E6D37" w:rsidRDefault="002E6D37" w:rsidP="00D61B50">
      <w:bookmarkStart w:id="11" w:name="_Hlk517783118"/>
      <w:r>
        <w:t>We describe here two limitations of the CDS;</w:t>
      </w:r>
    </w:p>
    <w:p w14:paraId="77BD5C20" w14:textId="76FF2003" w:rsidR="001A5E63" w:rsidRDefault="001A5E63" w:rsidP="004F6775">
      <w:pPr>
        <w:pStyle w:val="ListParagraph"/>
        <w:numPr>
          <w:ilvl w:val="0"/>
          <w:numId w:val="42"/>
        </w:numPr>
      </w:pPr>
      <w:r>
        <w:t xml:space="preserve">We provide recommendations for only a subset of the all the possible DM drugs </w:t>
      </w:r>
    </w:p>
    <w:p w14:paraId="265D272E" w14:textId="32C4754C" w:rsidR="0018074B" w:rsidRDefault="001A5E63" w:rsidP="0018074B">
      <w:pPr>
        <w:pStyle w:val="ListParagraph"/>
        <w:numPr>
          <w:ilvl w:val="0"/>
          <w:numId w:val="42"/>
        </w:numPr>
      </w:pPr>
      <w:r>
        <w:t xml:space="preserve">We assumed that the patient has had his prescription for a “reasonable” period of time, yet is still not at goal.  That is, we did not consider </w:t>
      </w:r>
      <w:r w:rsidR="002E6D37">
        <w:t xml:space="preserve">the issue date of the </w:t>
      </w:r>
      <w:r>
        <w:t xml:space="preserve">patient’s </w:t>
      </w:r>
      <w:r w:rsidR="002E6D37">
        <w:t>DM medication</w:t>
      </w:r>
      <w:r>
        <w:t xml:space="preserve"> relative to the date that we provide the recommendations</w:t>
      </w:r>
    </w:p>
    <w:p w14:paraId="35D4A1FA" w14:textId="77777777" w:rsidR="0018074B" w:rsidRDefault="0018074B" w:rsidP="0018074B">
      <w:pPr>
        <w:pStyle w:val="ListParagraph"/>
        <w:numPr>
          <w:ilvl w:val="0"/>
          <w:numId w:val="42"/>
        </w:numPr>
      </w:pPr>
    </w:p>
    <w:p w14:paraId="32165E4A" w14:textId="0B8EC12A" w:rsidR="001A5E63" w:rsidRDefault="001A5E63" w:rsidP="001A5E63">
      <w:r>
        <w:t>Subset of DM drugs</w:t>
      </w:r>
    </w:p>
    <w:p w14:paraId="10A3844C" w14:textId="2881450B"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 xml:space="preserve">uideline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2F5E334A" w14:textId="19658859" w:rsidR="004B2947" w:rsidRPr="00840DE3" w:rsidRDefault="004B2947" w:rsidP="00BF22F2">
      <w:pPr>
        <w:pStyle w:val="ListParagraph"/>
        <w:numPr>
          <w:ilvl w:val="0"/>
          <w:numId w:val="8"/>
        </w:numPr>
      </w:pPr>
      <w:r w:rsidRPr="00840DE3">
        <w:t xml:space="preserve">Saxagliptin (a </w:t>
      </w:r>
      <w:r w:rsidR="0071043F" w:rsidRPr="00840DE3">
        <w:t>d</w:t>
      </w:r>
      <w:r w:rsidR="007560C8" w:rsidRPr="00840DE3">
        <w:t>ipeptidyle peptidase-</w:t>
      </w:r>
      <w:r w:rsidR="0071043F" w:rsidRPr="00840DE3">
        <w:t>i</w:t>
      </w:r>
      <w:r w:rsidR="00D61B50" w:rsidRPr="00840DE3">
        <w:t>nhibitor</w:t>
      </w:r>
      <w:r w:rsidR="007560C8" w:rsidRPr="00840DE3">
        <w:t xml:space="preserve"> (DPP</w:t>
      </w:r>
      <w:r w:rsidR="006F31CA" w:rsidRPr="00840DE3">
        <w:t>-</w:t>
      </w:r>
      <w:r w:rsidR="007560C8" w:rsidRPr="00840DE3">
        <w:t>4</w:t>
      </w:r>
      <w:r w:rsidR="006F31CA" w:rsidRPr="00840DE3">
        <w:t xml:space="preserve"> </w:t>
      </w:r>
      <w:r w:rsidR="007560C8" w:rsidRPr="00840DE3">
        <w:t>inhibitor)</w:t>
      </w:r>
      <w:r w:rsidRPr="00840DE3">
        <w:t>)</w:t>
      </w:r>
    </w:p>
    <w:p w14:paraId="4BE26FA1" w14:textId="0AC1989E" w:rsidR="004B2947" w:rsidRPr="00840DE3"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346B4451" w14:textId="59D50131" w:rsidR="004B2947"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five encoded drugs</w:t>
      </w:r>
      <w:r w:rsidR="00F42A79" w:rsidRPr="00840DE3">
        <w:t>)</w:t>
      </w:r>
      <w:r w:rsidRPr="00840DE3">
        <w:t xml:space="preserve">, we do not provide any therapeutic 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list of these “non-encoded drugs” and 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Pr="00840DE3">
        <w:t xml:space="preserve"> “out of scope”</w:t>
      </w:r>
      <w:r w:rsidR="007560C8" w:rsidRPr="00840DE3">
        <w:t xml:space="preserve"> and other “out of scope” conditions.</w:t>
      </w:r>
    </w:p>
    <w:p w14:paraId="5B9BAC76" w14:textId="2A8359B4" w:rsidR="003176AE" w:rsidRDefault="001A5E63" w:rsidP="00D61B50">
      <w:r>
        <w:t>Issue date of DM drug vs date of CDS recommendations</w:t>
      </w:r>
    </w:p>
    <w:p w14:paraId="0C150CF6" w14:textId="45998614" w:rsidR="001A5E63" w:rsidRPr="00840DE3" w:rsidRDefault="00834A5E" w:rsidP="00D61B50">
      <w:r>
        <w:t>For the current CDS, we assumed that the patient had had his DM medication for a “reasonable” period of time, but was still not at goal.  More specifically, w</w:t>
      </w:r>
      <w:r w:rsidR="001A5E63">
        <w:t>e did not consider the issue date of a patient’s DM prescription relative to the date that we provide</w:t>
      </w:r>
      <w:r>
        <w:t>d</w:t>
      </w:r>
      <w:r w:rsidR="001A5E63">
        <w:t xml:space="preserve"> recommendations.  That means that a patient could have received his/her new prescription (or medications) within the last few days.  Any recommendations we provide </w:t>
      </w:r>
      <w:r>
        <w:t>would be, in such a situation, premature.  Inclusion of the an issue date, or a consideration of an appropriate cut off date of “reasonable” period of time, is a wish list item, and listed in the Appendix.</w:t>
      </w:r>
    </w:p>
    <w:p w14:paraId="12289FE2" w14:textId="155A1EE3" w:rsidR="000C6972" w:rsidRPr="00840DE3" w:rsidRDefault="002D4FFC" w:rsidP="00F12FCF">
      <w:pPr>
        <w:pStyle w:val="Heading1"/>
      </w:pPr>
      <w:bookmarkStart w:id="12" w:name="_Drugs_Therapies"/>
      <w:bookmarkEnd w:id="11"/>
      <w:bookmarkEnd w:id="12"/>
      <w:r w:rsidRPr="00840DE3">
        <w:t xml:space="preserve"> </w:t>
      </w:r>
      <w:bookmarkStart w:id="13" w:name="_Ref491856029"/>
      <w:bookmarkStart w:id="14" w:name="_Ref491856065"/>
      <w:bookmarkStart w:id="15" w:name="_Toc515553646"/>
      <w:r w:rsidR="000C6972" w:rsidRPr="00840DE3">
        <w:t xml:space="preserve">Drugs </w:t>
      </w:r>
      <w:r w:rsidR="0071043F" w:rsidRPr="00840DE3">
        <w:t>Therapies</w:t>
      </w:r>
      <w:bookmarkEnd w:id="13"/>
      <w:bookmarkEnd w:id="14"/>
      <w:bookmarkEnd w:id="15"/>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6" w:name="_Toc515553647"/>
      <w:r w:rsidR="00E54B61" w:rsidRPr="00840DE3">
        <w:t>Definitions</w:t>
      </w:r>
      <w:bookmarkEnd w:id="16"/>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RxStatus=”Active”,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F</w:t>
      </w:r>
      <w:r w:rsidR="002B1A16" w:rsidRPr="00840DE3">
        <w:t>irst line drug</w:t>
      </w:r>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t>Biguanide (metformin) is a first line drug.</w:t>
      </w:r>
    </w:p>
    <w:p w14:paraId="5CB17420" w14:textId="05AAC593" w:rsidR="002B1A16" w:rsidRPr="00840DE3" w:rsidRDefault="00C34371" w:rsidP="002B1A16">
      <w:pPr>
        <w:pStyle w:val="Heading3"/>
      </w:pPr>
      <w:r w:rsidRPr="00840DE3">
        <w:t>S</w:t>
      </w:r>
      <w:r w:rsidR="002B1A16" w:rsidRPr="00840DE3">
        <w:t>econd line drug</w:t>
      </w:r>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60FB9E70" w:rsidR="00010043" w:rsidRPr="00840DE3" w:rsidRDefault="00010043" w:rsidP="00010043">
      <w:r w:rsidRPr="00840DE3">
        <w:t xml:space="preserve">Glipizide, pioglitazone, and saxagliptin are second line drugs.  Empagliflozin is a second line drug only if the patient has a diagnosis of CVD.  </w:t>
      </w:r>
    </w:p>
    <w:p w14:paraId="275D944A" w14:textId="77777777" w:rsidR="00384121" w:rsidRPr="00840DE3" w:rsidRDefault="00E20EF5" w:rsidP="003431A8">
      <w:pPr>
        <w:pStyle w:val="Heading3"/>
      </w:pPr>
      <w:r w:rsidRPr="00840DE3">
        <w:t>Compelling indication</w:t>
      </w:r>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r w:rsidRPr="00840DE3">
        <w:t>Relative indication</w:t>
      </w:r>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r w:rsidRPr="00840DE3">
        <w:t>Absolute contraindication</w:t>
      </w:r>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r w:rsidRPr="00840DE3">
        <w:t>Relative contraindication</w:t>
      </w:r>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r w:rsidRPr="00840DE3">
        <w:t xml:space="preserve">Do not start </w:t>
      </w:r>
      <w:r w:rsidR="006E050E" w:rsidRPr="00840DE3">
        <w:t>controllable criteria</w:t>
      </w:r>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r w:rsidRPr="00840DE3">
        <w:t xml:space="preserve">Do not start </w:t>
      </w:r>
      <w:r w:rsidR="00431755" w:rsidRPr="00840DE3">
        <w:t>u</w:t>
      </w:r>
      <w:r w:rsidR="002049DD" w:rsidRPr="00840DE3">
        <w:t>ncontrollable criteria</w:t>
      </w:r>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r w:rsidRPr="00840DE3">
        <w:t xml:space="preserve">Do not increase dose </w:t>
      </w:r>
      <w:r w:rsidR="007E4BE0" w:rsidRPr="00840DE3">
        <w:t xml:space="preserve">controllable </w:t>
      </w:r>
      <w:r w:rsidR="0069724B" w:rsidRPr="00840DE3">
        <w:t>criteria</w:t>
      </w:r>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r w:rsidRPr="00840DE3">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r w:rsidRPr="00840DE3">
        <w:t>Bad d</w:t>
      </w:r>
      <w:r w:rsidR="00E20EF5" w:rsidRPr="00840DE3">
        <w:t xml:space="preserve">rug </w:t>
      </w:r>
      <w:r w:rsidRPr="00840DE3">
        <w:t>p</w:t>
      </w:r>
      <w:r w:rsidR="00E20EF5" w:rsidRPr="00840DE3">
        <w:t>artner</w:t>
      </w:r>
    </w:p>
    <w:p w14:paraId="6C993715" w14:textId="6E70FD51" w:rsidR="001D3794" w:rsidRPr="00840DE3" w:rsidRDefault="001D3794" w:rsidP="001D3794">
      <w:pPr>
        <w:shd w:val="clear" w:color="auto" w:fill="FFFFFF"/>
        <w:rPr>
          <w:rFonts w:eastAsia="Times New Roman" w:cs="Helvetica"/>
          <w:color w:val="000000"/>
          <w:szCs w:val="24"/>
        </w:rPr>
      </w:pPr>
      <w:bookmarkStart w:id="17"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18" w:name="_Toc515553648"/>
      <w:bookmarkEnd w:id="17"/>
      <w:r w:rsidRPr="00840DE3">
        <w:t>Messages associated with drug recommendations</w:t>
      </w:r>
      <w:bookmarkEnd w:id="18"/>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19" w:name="_Toc515553649"/>
      <w:r w:rsidRPr="00840DE3">
        <w:t>Note</w:t>
      </w:r>
      <w:r w:rsidR="004D30EB" w:rsidRPr="00840DE3">
        <w:t xml:space="preserve"> on </w:t>
      </w:r>
      <w:r w:rsidR="001B2E5B" w:rsidRPr="00840DE3">
        <w:t>Dates &amp; Session Times</w:t>
      </w:r>
      <w:bookmarkEnd w:id="19"/>
    </w:p>
    <w:p w14:paraId="3016BABC" w14:textId="2F18ACFD" w:rsidR="007F21A0" w:rsidRPr="00840DE3" w:rsidRDefault="00EE1C20" w:rsidP="004D30EB">
      <w:bookmarkStart w:id="20"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20"/>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21"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RxStatus=”Active”,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RxStatus=Discontinued.  In order to freeze all data, all data must be extracted and not be modified.  </w:t>
      </w:r>
    </w:p>
    <w:bookmarkEnd w:id="21"/>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22" w:name="_Ref491885000"/>
      <w:bookmarkStart w:id="23" w:name="_Ref491885004"/>
      <w:bookmarkStart w:id="24" w:name="_Toc515553650"/>
      <w:r w:rsidRPr="00840DE3">
        <w:t>Medication Possession Ratio</w:t>
      </w:r>
      <w:bookmarkEnd w:id="22"/>
      <w:bookmarkEnd w:id="23"/>
      <w:bookmarkEnd w:id="24"/>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End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25" w:name="_Toc515553651"/>
      <w:r w:rsidRPr="00840DE3">
        <w:t>Encoded Drugs</w:t>
      </w:r>
      <w:bookmarkEnd w:id="25"/>
    </w:p>
    <w:p w14:paraId="0955FAB2" w14:textId="6DE59D30" w:rsidR="00F0578C" w:rsidRPr="00840DE3" w:rsidRDefault="00F0578C" w:rsidP="00F0578C">
      <w:pPr>
        <w:pStyle w:val="Heading3"/>
      </w:pPr>
      <w:r w:rsidRPr="00840DE3">
        <w:t>B</w:t>
      </w:r>
      <w:r w:rsidR="009D609C" w:rsidRPr="00840DE3">
        <w:t>iguanide (metformin)</w:t>
      </w:r>
      <w:r w:rsidRPr="00840DE3">
        <w:t>, first line therapy</w:t>
      </w:r>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37EBA5F3" w14:textId="3392632F" w:rsidR="002468FA" w:rsidRPr="00840DE3" w:rsidRDefault="00AF43B1" w:rsidP="000D6CDD">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w:t>
      </w:r>
      <w:r w:rsidR="006855EC" w:rsidRPr="00840DE3">
        <w:t>eGFR</w:t>
      </w:r>
      <w:r w:rsidR="00FA302A" w:rsidRPr="00840DE3">
        <w:t xml:space="preserve"> </w:t>
      </w:r>
      <w:r w:rsidR="006855EC" w:rsidRPr="00840DE3">
        <w:t>&lt;</w:t>
      </w:r>
      <w:r w:rsidR="00FA302A" w:rsidRPr="00840DE3">
        <w:t xml:space="preserve"> </w:t>
      </w:r>
      <w:r w:rsidR="006855EC" w:rsidRPr="00840DE3">
        <w:t>30</w:t>
      </w:r>
      <w:r w:rsidR="000D6CDD">
        <w:t xml:space="preserve"> in the past 30 days</w:t>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7A72462A" w:rsidR="008559C1" w:rsidRPr="00840DE3" w:rsidRDefault="008559C1" w:rsidP="00BF22F2">
      <w:pPr>
        <w:pStyle w:val="ListParagraph"/>
        <w:numPr>
          <w:ilvl w:val="1"/>
          <w:numId w:val="9"/>
        </w:numPr>
      </w:pPr>
      <w:r w:rsidRPr="00840DE3">
        <w:t xml:space="preserve">ADR of acidosis </w:t>
      </w:r>
      <w:r w:rsidR="00800552" w:rsidRPr="00840DE3">
        <w:t xml:space="preserve">or renal failure or renal impairment </w:t>
      </w:r>
      <w:r w:rsidRPr="00840DE3">
        <w:t>to biguanide</w:t>
      </w:r>
    </w:p>
    <w:p w14:paraId="0CFAC394" w14:textId="1F813823" w:rsidR="00800552" w:rsidRPr="00840DE3" w:rsidRDefault="00800552" w:rsidP="00800552">
      <w:pPr>
        <w:pStyle w:val="ListParagraph"/>
        <w:numPr>
          <w:ilvl w:val="2"/>
          <w:numId w:val="9"/>
        </w:numPr>
      </w:pPr>
      <w:r w:rsidRPr="00840DE3">
        <w:t>Acidosis may be recorded as increased lactic acid or increased serum lactic acid and are therefore also considered as absolute contraindications.</w:t>
      </w:r>
      <w:r w:rsidRPr="00840DE3">
        <w:rPr>
          <w:rStyle w:val="FootnoteReference"/>
        </w:rPr>
        <w:footnoteReference w:id="3"/>
      </w:r>
    </w:p>
    <w:p w14:paraId="3217F011" w14:textId="2E383667" w:rsidR="002468FA" w:rsidRPr="00840DE3" w:rsidRDefault="006855EC" w:rsidP="00BF22F2">
      <w:pPr>
        <w:pStyle w:val="ListParagraph"/>
        <w:numPr>
          <w:ilvl w:val="0"/>
          <w:numId w:val="9"/>
        </w:numPr>
      </w:pPr>
      <w:bookmarkStart w:id="26"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27" w:name="_Hlk510531428"/>
      <w:r w:rsidRPr="00840DE3">
        <w:t>Bicarbonate &lt; 24</w:t>
      </w:r>
      <w:r w:rsidR="00313AF6" w:rsidRPr="00840DE3">
        <w:t xml:space="preserve"> </w:t>
      </w:r>
      <w:r w:rsidR="00466C1F" w:rsidRPr="00840DE3">
        <w:rPr>
          <w:rStyle w:val="FootnoteReference"/>
        </w:rPr>
        <w:footnoteReference w:id="4"/>
      </w:r>
    </w:p>
    <w:bookmarkEnd w:id="27"/>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5"/>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26"/>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2B32E017"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7C2925BF" w14:textId="6C47618D" w:rsidR="00B72E39" w:rsidRPr="00840DE3" w:rsidRDefault="00BD055F" w:rsidP="00B72E39">
      <w:pPr>
        <w:pStyle w:val="ListParagraph"/>
        <w:ind w:left="1800"/>
      </w:pPr>
      <w:r w:rsidRPr="00840DE3">
        <w:t>If a patient is missing</w:t>
      </w:r>
      <w:r w:rsidR="00B72E39" w:rsidRPr="00840DE3">
        <w:t xml:space="preserve"> bicarbonate, </w:t>
      </w:r>
      <w:r w:rsidR="004E3F09">
        <w:t>or AST and</w:t>
      </w:r>
      <w:r w:rsidR="00B72E39" w:rsidRPr="00840DE3">
        <w:t xml:space="preserve">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(?missingMFlabAdd).”</w:t>
      </w:r>
    </w:p>
    <w:p w14:paraId="752B65D9" w14:textId="4A4DDAD5" w:rsidR="00B72E39" w:rsidRPr="00840DE3" w:rsidRDefault="00B72E39" w:rsidP="00B72E39">
      <w:pPr>
        <w:pStyle w:val="ListParagraph"/>
        <w:ind w:left="3240"/>
      </w:pPr>
      <w:r w:rsidRPr="00840DE3">
        <w:t>Where (?missingMFlabAdd) is whichever lab values are mi</w:t>
      </w:r>
      <w:r w:rsidR="004E3F09">
        <w:t>ssing, i.e., bicarbonate, (AST and</w:t>
      </w:r>
      <w:r w:rsidRPr="00840DE3">
        <w:t xml:space="preserve"> ALT</w:t>
      </w:r>
      <w:r w:rsidR="004E3F09">
        <w:t>)</w:t>
      </w:r>
      <w:r w:rsidRPr="00840DE3">
        <w: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28"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28"/>
    <w:p w14:paraId="2C313D2A" w14:textId="77777777" w:rsidR="002468FA" w:rsidRPr="00840DE3" w:rsidRDefault="00B0490D" w:rsidP="00BF22F2">
      <w:pPr>
        <w:pStyle w:val="ListParagraph"/>
        <w:numPr>
          <w:ilvl w:val="1"/>
          <w:numId w:val="9"/>
        </w:numPr>
      </w:pPr>
      <w:r w:rsidRPr="00840DE3">
        <w:t>Absence of bicarbonate in</w:t>
      </w:r>
      <w:r w:rsidR="00832665" w:rsidRPr="00840DE3">
        <w:t xml:space="preserve"> the</w:t>
      </w:r>
      <w:r w:rsidRPr="00840DE3">
        <w:t xml:space="preserve"> past year</w:t>
      </w:r>
    </w:p>
    <w:p w14:paraId="153ECD27" w14:textId="6FA13946"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67C35BF5" w14:textId="5020C78A" w:rsidR="00BD055F" w:rsidRPr="00840DE3" w:rsidRDefault="00BD055F" w:rsidP="00BD055F">
      <w:pPr>
        <w:pStyle w:val="ListParagraph"/>
        <w:ind w:left="1800"/>
      </w:pPr>
      <w:r w:rsidRPr="00840DE3">
        <w:t>If a patien</w:t>
      </w:r>
      <w:r w:rsidR="004E3F09">
        <w:t>t is missing bicarbonate, or, AST and</w:t>
      </w:r>
      <w:r w:rsidRPr="00840DE3">
        <w:t xml:space="preserve">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(?missingMFlabAdd).”</w:t>
      </w:r>
    </w:p>
    <w:p w14:paraId="71A995E9" w14:textId="297404FC" w:rsidR="00BD055F" w:rsidRPr="00840DE3" w:rsidRDefault="00BD055F" w:rsidP="00BD055F">
      <w:pPr>
        <w:pStyle w:val="ListParagraph"/>
        <w:ind w:left="3240"/>
      </w:pPr>
      <w:r w:rsidRPr="00840DE3">
        <w:t xml:space="preserve">Where (?missingMFlabAdd) is whichever lab values are missing, i.e., bicarbonate, </w:t>
      </w:r>
      <w:r w:rsidR="004E3F09">
        <w:t xml:space="preserve">(AST and </w:t>
      </w:r>
      <w:r w:rsidRPr="00840DE3">
        <w:t>ALT</w:t>
      </w:r>
      <w:r w:rsidR="004E3F09">
        <w:t>)</w:t>
      </w:r>
      <w:r w:rsidRPr="00840DE3">
        <w: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29"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Stop metformin if pt has hypoxemia, dehydration or sepsis.</w:t>
      </w:r>
    </w:p>
    <w:p w14:paraId="64C6F8FF" w14:textId="018AFF02" w:rsidR="00C827E7" w:rsidRPr="00840DE3" w:rsidRDefault="00C827E7" w:rsidP="00C827E7">
      <w:pPr>
        <w:pStyle w:val="ListParagraph"/>
        <w:numPr>
          <w:ilvl w:val="1"/>
          <w:numId w:val="9"/>
        </w:numPr>
      </w:pPr>
      <w:r w:rsidRPr="00840DE3">
        <w:t>Check B12 levels every 2 years as pt has Rx for metformin.</w:t>
      </w:r>
    </w:p>
    <w:p w14:paraId="4C65B33D" w14:textId="7308E338" w:rsidR="00C827E7" w:rsidRPr="00840DE3" w:rsidRDefault="00C827E7" w:rsidP="00C827E7">
      <w:pPr>
        <w:pStyle w:val="ListParagraph"/>
        <w:numPr>
          <w:ilvl w:val="1"/>
          <w:numId w:val="9"/>
        </w:numPr>
      </w:pPr>
      <w:r w:rsidRPr="00840DE3">
        <w:t>Hold metformin prior to and 48 hrs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?notMaxDose.  Adding another DM med.”</w:t>
      </w:r>
    </w:p>
    <w:p w14:paraId="094085F3" w14:textId="20FBC8E0" w:rsidR="009C6889" w:rsidRPr="00840DE3" w:rsidRDefault="009C6889" w:rsidP="00CF3E6B">
      <w:pPr>
        <w:pStyle w:val="ListParagraph"/>
        <w:spacing w:after="0"/>
        <w:ind w:left="1800"/>
      </w:pPr>
      <w:r w:rsidRPr="00840DE3">
        <w:t>Where ?notMaxDose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t>“Check B12 levels every 2 years as pt has Rx for metformin.”</w:t>
      </w:r>
    </w:p>
    <w:bookmarkEnd w:id="29"/>
    <w:p w14:paraId="25D5A34B" w14:textId="77777777" w:rsidR="00684D4A" w:rsidRPr="00840DE3" w:rsidRDefault="00684D4A" w:rsidP="002468FA"/>
    <w:p w14:paraId="7451C19C" w14:textId="5F5AE3DD" w:rsidR="003569BA" w:rsidRPr="00840DE3" w:rsidRDefault="00F136B2" w:rsidP="00287D6E">
      <w:pPr>
        <w:pStyle w:val="Heading3"/>
      </w:pPr>
      <w:r w:rsidRPr="00840DE3">
        <w:t>Glipizide, s</w:t>
      </w:r>
      <w:r w:rsidR="005A64D0" w:rsidRPr="00840DE3">
        <w:t>econd line therapy</w:t>
      </w:r>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7C19D6D4"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or cardiac arrest or coma or thrombocytopenia</w:t>
      </w:r>
      <w:r w:rsidR="00800552" w:rsidRPr="00840DE3">
        <w:t xml:space="preserve"> or renal failure or renal impairment</w:t>
      </w:r>
      <w:r w:rsidR="006A3CBF" w:rsidRPr="00840DE3">
        <w:t xml:space="preserve">}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lip swelling, swelling of throat, 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6"/>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7"/>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3E7A9428" w:rsidR="003569BA" w:rsidRPr="00840DE3" w:rsidRDefault="003569BA" w:rsidP="00BF22F2">
      <w:pPr>
        <w:pStyle w:val="ListParagraph"/>
        <w:numPr>
          <w:ilvl w:val="0"/>
          <w:numId w:val="9"/>
        </w:numPr>
      </w:pPr>
      <w:r w:rsidRPr="00840DE3">
        <w:t xml:space="preserve">Do not start </w:t>
      </w:r>
      <w:r w:rsidR="00B676C3" w:rsidRPr="00840DE3">
        <w:t xml:space="preserve">criteria </w:t>
      </w:r>
      <w:r w:rsidR="005E5533" w:rsidRPr="00840DE3">
        <w:t>(none)</w:t>
      </w:r>
      <w:r w:rsidR="00C15335" w:rsidRPr="00840DE3">
        <w:t>:</w:t>
      </w:r>
    </w:p>
    <w:p w14:paraId="33464ED1" w14:textId="7BDFC19A" w:rsidR="00A65794" w:rsidRPr="00840DE3" w:rsidRDefault="006642A7" w:rsidP="00BF22F2">
      <w:pPr>
        <w:pStyle w:val="ListParagraph"/>
        <w:numPr>
          <w:ilvl w:val="0"/>
          <w:numId w:val="9"/>
        </w:numPr>
      </w:pPr>
      <w:r w:rsidRPr="00840DE3">
        <w:t xml:space="preserve">Do not intensify </w:t>
      </w:r>
      <w:r w:rsidR="00B676C3" w:rsidRPr="00840DE3">
        <w:t xml:space="preserve">criteria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i.e. glipizIde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“Stop glipizide or glipizideXL.”</w:t>
      </w:r>
    </w:p>
    <w:p w14:paraId="2BECA1F6" w14:textId="77777777" w:rsidR="00D83009" w:rsidRPr="00840DE3" w:rsidRDefault="00D83009" w:rsidP="00D83009"/>
    <w:p w14:paraId="45C978BA" w14:textId="3AD22CA6" w:rsidR="0051047A" w:rsidRPr="00840DE3" w:rsidRDefault="00B03141" w:rsidP="00287D6E">
      <w:pPr>
        <w:pStyle w:val="Heading3"/>
      </w:pPr>
      <w:r w:rsidRPr="00840DE3">
        <w:t>Pioglitazone, s</w:t>
      </w:r>
      <w:r w:rsidR="005A64D0" w:rsidRPr="00840DE3">
        <w:t>econd line therapy</w:t>
      </w:r>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5FFA319A"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874C1C" w:rsidR="006121F3" w:rsidRPr="00840DE3" w:rsidRDefault="004E3F09" w:rsidP="006121F3">
      <w:pPr>
        <w:ind w:left="1440"/>
      </w:pPr>
      <w:r>
        <w:t>If a patient is missing AST and</w:t>
      </w:r>
      <w:r w:rsidR="006121F3" w:rsidRPr="00840DE3">
        <w:t xml:space="preserve"> ALT in the past year, then, we will order a new lab and the following collateral “do not start controllable” message will be displayed:</w:t>
      </w:r>
    </w:p>
    <w:p w14:paraId="128740AC" w14:textId="5BFFAD1C" w:rsidR="006121F3" w:rsidRPr="00840DE3" w:rsidRDefault="006121F3" w:rsidP="006121F3">
      <w:pPr>
        <w:pStyle w:val="ListParagraph"/>
        <w:ind w:left="1800"/>
      </w:pPr>
      <w:r w:rsidRPr="00840DE3">
        <w:t>“Would recommend thia</w:t>
      </w:r>
      <w:r w:rsidR="004E3F09">
        <w:t>zolidinedione but missing AST and</w:t>
      </w:r>
      <w:r w:rsidRPr="00840DE3">
        <w:t xml:space="preserve">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43C8D392"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72EEF976" w:rsidR="005D3A21" w:rsidRPr="00840DE3" w:rsidRDefault="008B33B3" w:rsidP="00E5009A">
      <w:pPr>
        <w:ind w:left="1440"/>
      </w:pPr>
      <w:r>
        <w:t>If a patient is missing AST and</w:t>
      </w:r>
      <w:r w:rsidR="005D3A21" w:rsidRPr="00840DE3">
        <w:t xml:space="preserve"> ALT in the past year, then, we will order a new lab and the following collateral “do not intensify controllable” message will be displayed:</w:t>
      </w:r>
    </w:p>
    <w:p w14:paraId="11FE89A5" w14:textId="6CEF0EA5" w:rsidR="005D3A21" w:rsidRPr="00840DE3" w:rsidRDefault="005D3A21" w:rsidP="00113BD9">
      <w:pPr>
        <w:pStyle w:val="ListParagraph"/>
        <w:ind w:left="1800"/>
      </w:pPr>
      <w:r w:rsidRPr="00840DE3">
        <w:t>“Would recommend thia</w:t>
      </w:r>
      <w:r w:rsidR="004E3F09">
        <w:t>zolidinedione but missing AST and</w:t>
      </w:r>
      <w:r w:rsidRPr="00840DE3">
        <w:t xml:space="preserve">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t>“Use caution with TZD and CHF.”</w:t>
      </w:r>
    </w:p>
    <w:p w14:paraId="0EF6A26B" w14:textId="77777777" w:rsidR="00E5009A" w:rsidRPr="00840DE3" w:rsidRDefault="00E5009A" w:rsidP="00B6029A">
      <w:pPr>
        <w:pStyle w:val="ListParagraph"/>
        <w:ind w:left="1800"/>
      </w:pPr>
    </w:p>
    <w:p w14:paraId="46707B75" w14:textId="08BAED2C" w:rsidR="00D979B4" w:rsidRPr="00840DE3" w:rsidRDefault="00B574B9" w:rsidP="00287D6E">
      <w:pPr>
        <w:pStyle w:val="Heading3"/>
      </w:pPr>
      <w:r w:rsidRPr="00840DE3">
        <w:t>Saxagliptin, s</w:t>
      </w:r>
      <w:r w:rsidR="00D979B4" w:rsidRPr="00840DE3">
        <w:t>econd line therapy</w:t>
      </w:r>
    </w:p>
    <w:p w14:paraId="0EF50686" w14:textId="1FF02066" w:rsidR="00B574B9" w:rsidRPr="00840DE3" w:rsidRDefault="00B574B9" w:rsidP="0002642E">
      <w:r w:rsidRPr="00840DE3">
        <w:rPr>
          <w:rStyle w:val="Strong"/>
        </w:rPr>
        <w:t>Drug class:</w:t>
      </w:r>
      <w:r w:rsidRPr="00840DE3">
        <w:t xml:space="preserve"> dipeptidyle peptidase-</w:t>
      </w:r>
      <w:r w:rsidR="00F55313" w:rsidRPr="00840DE3">
        <w:t xml:space="preserve">4 </w:t>
      </w:r>
      <w:r w:rsidRPr="00840DE3">
        <w:t>(DPP-4)</w:t>
      </w:r>
      <w:r w:rsidR="00F55313" w:rsidRPr="00840DE3">
        <w:t xml:space="preserve"> inhibitor</w:t>
      </w:r>
    </w:p>
    <w:p w14:paraId="2DE7B804" w14:textId="541013D8" w:rsidR="00B574B9" w:rsidRPr="00840DE3" w:rsidRDefault="00D979B4" w:rsidP="00BF22F2">
      <w:pPr>
        <w:pStyle w:val="ListParagraph"/>
        <w:numPr>
          <w:ilvl w:val="0"/>
          <w:numId w:val="9"/>
        </w:numPr>
      </w:pPr>
      <w:r w:rsidRPr="00840DE3">
        <w:t>Relative indication</w:t>
      </w:r>
      <w:r w:rsidR="0002642E" w:rsidRPr="00840DE3">
        <w:t xml:space="preserve"> (none)</w:t>
      </w:r>
    </w:p>
    <w:p w14:paraId="675BD27D" w14:textId="686D0917" w:rsidR="00B574B9" w:rsidRPr="00840DE3" w:rsidRDefault="00D979B4" w:rsidP="00BF22F2">
      <w:pPr>
        <w:pStyle w:val="ListParagraph"/>
        <w:numPr>
          <w:ilvl w:val="0"/>
          <w:numId w:val="9"/>
        </w:numPr>
      </w:pPr>
      <w:r w:rsidRPr="00840DE3">
        <w:t>Absolute contraindication</w:t>
      </w:r>
      <w:r w:rsidR="00C15335" w:rsidRPr="00840DE3">
        <w:t>:</w:t>
      </w:r>
    </w:p>
    <w:p w14:paraId="7351B97F" w14:textId="77777777" w:rsidR="00B574B9" w:rsidRPr="00840DE3" w:rsidRDefault="00D979B4" w:rsidP="00BF22F2">
      <w:pPr>
        <w:pStyle w:val="ListParagraph"/>
        <w:numPr>
          <w:ilvl w:val="1"/>
          <w:numId w:val="9"/>
        </w:numPr>
      </w:pPr>
      <w:r w:rsidRPr="00840DE3">
        <w:t>Pancreatitis</w:t>
      </w:r>
    </w:p>
    <w:p w14:paraId="4B31FA01" w14:textId="77777777" w:rsidR="00B574B9" w:rsidRPr="00840DE3" w:rsidRDefault="00D979B4" w:rsidP="00BF22F2">
      <w:pPr>
        <w:pStyle w:val="ListParagraph"/>
        <w:numPr>
          <w:ilvl w:val="1"/>
          <w:numId w:val="9"/>
        </w:numPr>
      </w:pPr>
      <w:r w:rsidRPr="00840DE3">
        <w:t>ADR of anaphylaxis to DPP-4 inhibitors</w:t>
      </w:r>
    </w:p>
    <w:p w14:paraId="739D53CD" w14:textId="77777777" w:rsidR="00B574B9" w:rsidRPr="00840DE3" w:rsidRDefault="00D979B4" w:rsidP="00BF22F2">
      <w:pPr>
        <w:pStyle w:val="ListParagraph"/>
        <w:numPr>
          <w:ilvl w:val="1"/>
          <w:numId w:val="9"/>
        </w:numPr>
      </w:pPr>
      <w:r w:rsidRPr="00840DE3">
        <w:t>ADR of angioedema to DPP-4 inhibitors</w:t>
      </w:r>
    </w:p>
    <w:p w14:paraId="12FFF6DD" w14:textId="1ABE740B" w:rsidR="00B574B9" w:rsidRPr="00840DE3" w:rsidRDefault="00D979B4" w:rsidP="00BF22F2">
      <w:pPr>
        <w:pStyle w:val="ListParagraph"/>
        <w:numPr>
          <w:ilvl w:val="0"/>
          <w:numId w:val="9"/>
        </w:numPr>
      </w:pPr>
      <w:r w:rsidRPr="00840DE3">
        <w:t>Relative contraindication</w:t>
      </w:r>
      <w:r w:rsidR="00C15335" w:rsidRPr="00840DE3">
        <w:t>:</w:t>
      </w:r>
    </w:p>
    <w:p w14:paraId="7210C1D9" w14:textId="77777777" w:rsidR="00B574B9" w:rsidRPr="00840DE3" w:rsidRDefault="00D979B4" w:rsidP="00BF22F2">
      <w:pPr>
        <w:pStyle w:val="ListParagraph"/>
        <w:numPr>
          <w:ilvl w:val="1"/>
          <w:numId w:val="9"/>
        </w:numPr>
      </w:pPr>
      <w:r w:rsidRPr="00840DE3">
        <w:t>Heart Failure</w:t>
      </w:r>
    </w:p>
    <w:p w14:paraId="74DA92C0" w14:textId="2FB9DF10" w:rsidR="00B574B9" w:rsidRPr="00840DE3" w:rsidRDefault="00D979B4" w:rsidP="00BF22F2">
      <w:pPr>
        <w:pStyle w:val="ListParagraph"/>
        <w:numPr>
          <w:ilvl w:val="1"/>
          <w:numId w:val="9"/>
        </w:numPr>
      </w:pPr>
      <w:r w:rsidRPr="00840DE3">
        <w:t>eGFR</w:t>
      </w:r>
      <w:r w:rsidR="00FA302A" w:rsidRPr="00840DE3">
        <w:t xml:space="preserve"> </w:t>
      </w:r>
      <w:r w:rsidRPr="00840DE3">
        <w:t>&lt;</w:t>
      </w:r>
      <w:r w:rsidR="00FA302A" w:rsidRPr="00840DE3">
        <w:t xml:space="preserve"> </w:t>
      </w:r>
      <w:r w:rsidRPr="00840DE3">
        <w:t xml:space="preserve">45 </w:t>
      </w:r>
      <w:r w:rsidR="00D23890" w:rsidRPr="00840DE3">
        <w:t xml:space="preserve">most recent </w:t>
      </w:r>
      <w:r w:rsidRPr="00840DE3">
        <w:t>at any time frame</w:t>
      </w:r>
    </w:p>
    <w:p w14:paraId="020B7216" w14:textId="227E36CE" w:rsidR="00B574B9" w:rsidRPr="00840DE3" w:rsidRDefault="00D979B4" w:rsidP="00BF22F2">
      <w:pPr>
        <w:pStyle w:val="ListParagraph"/>
        <w:numPr>
          <w:ilvl w:val="0"/>
          <w:numId w:val="9"/>
        </w:numPr>
      </w:pPr>
      <w:r w:rsidRPr="00840DE3">
        <w:t>Do not start controllable criteria</w:t>
      </w:r>
      <w:r w:rsidR="00C15335" w:rsidRPr="00840DE3">
        <w:t>:</w:t>
      </w:r>
    </w:p>
    <w:p w14:paraId="2DED75D6" w14:textId="77777777" w:rsidR="00B574B9" w:rsidRPr="00840DE3" w:rsidRDefault="00D979B4" w:rsidP="00BF22F2">
      <w:pPr>
        <w:pStyle w:val="ListParagraph"/>
        <w:numPr>
          <w:ilvl w:val="1"/>
          <w:numId w:val="9"/>
        </w:numPr>
      </w:pPr>
      <w:r w:rsidRPr="00840DE3">
        <w:t>Absence of eGFR in the past the past 30 days</w:t>
      </w:r>
    </w:p>
    <w:p w14:paraId="79981060" w14:textId="1146234D" w:rsidR="007E30A4" w:rsidRPr="00840DE3" w:rsidRDefault="007E30A4" w:rsidP="007E30A4">
      <w:pPr>
        <w:pStyle w:val="ListParagraph"/>
        <w:ind w:left="1800"/>
      </w:pPr>
      <w:r w:rsidRPr="00840DE3">
        <w:t xml:space="preserve">If a patient is missing an eGFR in the past 30 days, we will order a new eGFR and one of the following  collateral “do not </w:t>
      </w:r>
      <w:r w:rsidR="0037066C" w:rsidRPr="00840DE3">
        <w:t>add</w:t>
      </w:r>
      <w:r w:rsidRPr="00840DE3">
        <w:t xml:space="preserve"> controllable” messages will be issues:</w:t>
      </w:r>
    </w:p>
    <w:p w14:paraId="59B9248A" w14:textId="77777777" w:rsidR="007E30A4" w:rsidRPr="00840DE3" w:rsidRDefault="007E30A4" w:rsidP="007E30A4">
      <w:pPr>
        <w:pStyle w:val="FootnoteText"/>
        <w:numPr>
          <w:ilvl w:val="2"/>
          <w:numId w:val="9"/>
        </w:numPr>
        <w:rPr>
          <w:sz w:val="24"/>
          <w:szCs w:val="24"/>
        </w:rPr>
      </w:pPr>
      <w:r w:rsidRPr="00840DE3">
        <w:rPr>
          <w:sz w:val="24"/>
          <w:szCs w:val="24"/>
        </w:rPr>
        <w:t>if there is no eGFR, then the following message will be displayed:</w:t>
      </w:r>
    </w:p>
    <w:p w14:paraId="2EBBB11A" w14:textId="52312889" w:rsidR="007E30A4" w:rsidRPr="00840DE3" w:rsidRDefault="007E30A4" w:rsidP="00556A58">
      <w:pPr>
        <w:pStyle w:val="FootnoteText"/>
        <w:ind w:left="2520"/>
        <w:rPr>
          <w:sz w:val="24"/>
          <w:szCs w:val="24"/>
        </w:rPr>
      </w:pPr>
      <w:r w:rsidRPr="00840DE3">
        <w:rPr>
          <w:sz w:val="24"/>
          <w:szCs w:val="24"/>
        </w:rPr>
        <w:t>“Would add saxagliptin, but missing GFR.”</w:t>
      </w:r>
    </w:p>
    <w:p w14:paraId="72F7E978" w14:textId="77777777" w:rsidR="00556A58" w:rsidRPr="00840DE3" w:rsidRDefault="00556A58" w:rsidP="007E30A4">
      <w:pPr>
        <w:pStyle w:val="FootnoteText"/>
        <w:ind w:left="3240"/>
        <w:rPr>
          <w:sz w:val="24"/>
          <w:szCs w:val="24"/>
        </w:rPr>
      </w:pPr>
    </w:p>
    <w:p w14:paraId="3B1A4936" w14:textId="1355F52A" w:rsidR="007E30A4" w:rsidRPr="00840DE3" w:rsidRDefault="007E30A4" w:rsidP="007E30A4">
      <w:pPr>
        <w:pStyle w:val="FootnoteText"/>
        <w:numPr>
          <w:ilvl w:val="2"/>
          <w:numId w:val="9"/>
        </w:numPr>
        <w:rPr>
          <w:sz w:val="24"/>
          <w:szCs w:val="24"/>
        </w:rPr>
      </w:pPr>
      <w:r w:rsidRPr="00840DE3">
        <w:rPr>
          <w:sz w:val="24"/>
          <w:szCs w:val="24"/>
        </w:rPr>
        <w:t xml:space="preserve">If there is an eGFR older than </w:t>
      </w:r>
      <w:r w:rsidR="00556A58" w:rsidRPr="00840DE3">
        <w:rPr>
          <w:sz w:val="24"/>
          <w:szCs w:val="24"/>
        </w:rPr>
        <w:t>30 days</w:t>
      </w:r>
      <w:r w:rsidRPr="00840DE3">
        <w:rPr>
          <w:sz w:val="24"/>
          <w:szCs w:val="24"/>
        </w:rPr>
        <w:t xml:space="preserve"> then the following message will be displayed:</w:t>
      </w:r>
    </w:p>
    <w:p w14:paraId="63AB12C3" w14:textId="3CE43A4F" w:rsidR="00556A58" w:rsidRPr="00840DE3" w:rsidRDefault="00556A58" w:rsidP="00556A58">
      <w:pPr>
        <w:pStyle w:val="FootnoteText"/>
        <w:ind w:left="2520"/>
        <w:rPr>
          <w:sz w:val="24"/>
          <w:szCs w:val="24"/>
        </w:rPr>
      </w:pPr>
      <w:r w:rsidRPr="00840DE3">
        <w:rPr>
          <w:sz w:val="24"/>
          <w:szCs w:val="24"/>
        </w:rPr>
        <w:t>“Would add saxagliptin, but old GFR: ?value (?date).”</w:t>
      </w:r>
    </w:p>
    <w:p w14:paraId="18062BD4" w14:textId="77777777" w:rsidR="0037066C" w:rsidRPr="00840DE3" w:rsidRDefault="0037066C" w:rsidP="0037066C">
      <w:pPr>
        <w:pStyle w:val="ListParagraph"/>
        <w:ind w:left="1080"/>
        <w:rPr>
          <w:sz w:val="20"/>
          <w:szCs w:val="20"/>
        </w:rPr>
      </w:pPr>
    </w:p>
    <w:p w14:paraId="4E04ABB5" w14:textId="77777777" w:rsidR="00B574B9" w:rsidRPr="00840DE3" w:rsidRDefault="00D979B4" w:rsidP="00BF22F2">
      <w:pPr>
        <w:pStyle w:val="ListParagraph"/>
        <w:numPr>
          <w:ilvl w:val="0"/>
          <w:numId w:val="9"/>
        </w:numPr>
      </w:pPr>
      <w:r w:rsidRPr="00840DE3">
        <w:t xml:space="preserve">Do not start </w:t>
      </w:r>
      <w:r w:rsidR="003C0607" w:rsidRPr="00840DE3">
        <w:t>un</w:t>
      </w:r>
      <w:r w:rsidRPr="00840DE3">
        <w:t>controllable criteria (none)</w:t>
      </w:r>
    </w:p>
    <w:p w14:paraId="22136D84" w14:textId="2D8E3488" w:rsidR="00B574B9" w:rsidRPr="00840DE3" w:rsidRDefault="00D979B4" w:rsidP="00BF22F2">
      <w:pPr>
        <w:pStyle w:val="ListParagraph"/>
        <w:numPr>
          <w:ilvl w:val="0"/>
          <w:numId w:val="9"/>
        </w:numPr>
      </w:pPr>
      <w:r w:rsidRPr="00840DE3">
        <w:t>Do not intensify controllable criteria</w:t>
      </w:r>
      <w:r w:rsidR="00C15335" w:rsidRPr="00840DE3">
        <w:t>:</w:t>
      </w:r>
    </w:p>
    <w:p w14:paraId="51B01188" w14:textId="77777777" w:rsidR="00B574B9" w:rsidRPr="00840DE3" w:rsidRDefault="00D979B4" w:rsidP="00BF22F2">
      <w:pPr>
        <w:pStyle w:val="ListParagraph"/>
        <w:numPr>
          <w:ilvl w:val="1"/>
          <w:numId w:val="9"/>
        </w:numPr>
      </w:pPr>
      <w:r w:rsidRPr="00840DE3">
        <w:t>Absence of eGFR in the past year</w:t>
      </w:r>
    </w:p>
    <w:p w14:paraId="672948B2" w14:textId="79AA63B0" w:rsidR="0037066C" w:rsidRPr="00840DE3" w:rsidRDefault="0037066C" w:rsidP="0037066C">
      <w:pPr>
        <w:pStyle w:val="ListParagraph"/>
        <w:ind w:left="1800"/>
      </w:pPr>
      <w:r w:rsidRPr="00840DE3">
        <w:t>If a patient is missing an eGFR in the past year, we will order a new eGFR and one of the following collateral “do not intensify controllable” messages will be issues:</w:t>
      </w:r>
    </w:p>
    <w:p w14:paraId="35D6B0AD" w14:textId="77777777" w:rsidR="0037066C" w:rsidRPr="00840DE3" w:rsidRDefault="0037066C" w:rsidP="0037066C">
      <w:pPr>
        <w:pStyle w:val="FootnoteText"/>
        <w:numPr>
          <w:ilvl w:val="2"/>
          <w:numId w:val="9"/>
        </w:numPr>
        <w:rPr>
          <w:sz w:val="24"/>
          <w:szCs w:val="24"/>
        </w:rPr>
      </w:pPr>
      <w:r w:rsidRPr="00840DE3">
        <w:rPr>
          <w:sz w:val="24"/>
          <w:szCs w:val="24"/>
        </w:rPr>
        <w:t>if there is no eGFR, then the following message will be displayed:</w:t>
      </w:r>
    </w:p>
    <w:p w14:paraId="0844B8CA" w14:textId="09DE9688" w:rsidR="0037066C" w:rsidRPr="00840DE3" w:rsidRDefault="0037066C" w:rsidP="0037066C">
      <w:pPr>
        <w:pStyle w:val="FootnoteText"/>
        <w:ind w:left="2520"/>
        <w:rPr>
          <w:sz w:val="24"/>
          <w:szCs w:val="24"/>
        </w:rPr>
      </w:pPr>
      <w:r w:rsidRPr="00840DE3">
        <w:rPr>
          <w:sz w:val="24"/>
          <w:szCs w:val="24"/>
        </w:rPr>
        <w:t>“Would increase saxagliptin, but missing GFR.”</w:t>
      </w:r>
    </w:p>
    <w:p w14:paraId="4F71CBFD" w14:textId="77777777" w:rsidR="0037066C" w:rsidRPr="00840DE3" w:rsidRDefault="0037066C" w:rsidP="0037066C">
      <w:pPr>
        <w:pStyle w:val="FootnoteText"/>
        <w:ind w:left="3240"/>
        <w:rPr>
          <w:sz w:val="24"/>
          <w:szCs w:val="24"/>
        </w:rPr>
      </w:pPr>
    </w:p>
    <w:p w14:paraId="5BAB8200" w14:textId="77777777" w:rsidR="0037066C" w:rsidRPr="00840DE3" w:rsidRDefault="0037066C" w:rsidP="0037066C">
      <w:pPr>
        <w:pStyle w:val="FootnoteText"/>
        <w:numPr>
          <w:ilvl w:val="2"/>
          <w:numId w:val="9"/>
        </w:numPr>
        <w:rPr>
          <w:sz w:val="24"/>
          <w:szCs w:val="24"/>
        </w:rPr>
      </w:pPr>
      <w:r w:rsidRPr="00840DE3">
        <w:rPr>
          <w:sz w:val="24"/>
          <w:szCs w:val="24"/>
        </w:rPr>
        <w:t>If there is an eGFR older than 30 days then the following message will be displayed:</w:t>
      </w:r>
    </w:p>
    <w:p w14:paraId="5DA712B7" w14:textId="5217DF40" w:rsidR="0037066C" w:rsidRPr="00840DE3" w:rsidRDefault="0037066C" w:rsidP="0037066C">
      <w:pPr>
        <w:pStyle w:val="FootnoteText"/>
        <w:ind w:left="2520"/>
        <w:rPr>
          <w:sz w:val="24"/>
          <w:szCs w:val="24"/>
        </w:rPr>
      </w:pPr>
      <w:r w:rsidRPr="00840DE3">
        <w:rPr>
          <w:sz w:val="24"/>
          <w:szCs w:val="24"/>
        </w:rPr>
        <w:t>“Would increase saxagliptin, but old GFR: ?value (?date).”</w:t>
      </w:r>
    </w:p>
    <w:p w14:paraId="4700076A" w14:textId="77777777" w:rsidR="0037066C" w:rsidRPr="00840DE3" w:rsidRDefault="0037066C" w:rsidP="0037066C">
      <w:pPr>
        <w:pStyle w:val="ListParagraph"/>
        <w:ind w:left="1800"/>
      </w:pPr>
    </w:p>
    <w:p w14:paraId="595B4676" w14:textId="366BE1FB" w:rsidR="00B574B9" w:rsidRPr="00840DE3" w:rsidRDefault="00D979B4" w:rsidP="00BF22F2">
      <w:pPr>
        <w:pStyle w:val="ListParagraph"/>
        <w:numPr>
          <w:ilvl w:val="0"/>
          <w:numId w:val="9"/>
        </w:numPr>
      </w:pPr>
      <w:r w:rsidRPr="00840DE3">
        <w:t xml:space="preserve">Do not intensify </w:t>
      </w:r>
      <w:r w:rsidR="003C0607" w:rsidRPr="00840DE3">
        <w:t>un</w:t>
      </w:r>
      <w:r w:rsidR="009170FE" w:rsidRPr="00840DE3">
        <w:t>controllable criteria</w:t>
      </w:r>
    </w:p>
    <w:p w14:paraId="63C92E8D" w14:textId="380BD0C2" w:rsidR="009170FE" w:rsidRPr="00840DE3" w:rsidRDefault="009170FE" w:rsidP="009170FE">
      <w:pPr>
        <w:pStyle w:val="ListParagraph"/>
        <w:numPr>
          <w:ilvl w:val="1"/>
          <w:numId w:val="9"/>
        </w:numPr>
      </w:pPr>
      <w:r w:rsidRPr="00840DE3">
        <w:t>eGFR&lt;45 in past year and dose &gt; 2.4</w:t>
      </w:r>
    </w:p>
    <w:p w14:paraId="54F0D7F0" w14:textId="04B5FF77" w:rsidR="00B574B9" w:rsidRPr="00840DE3" w:rsidRDefault="00D979B4" w:rsidP="00BF22F2">
      <w:pPr>
        <w:pStyle w:val="ListParagraph"/>
        <w:numPr>
          <w:ilvl w:val="0"/>
          <w:numId w:val="9"/>
        </w:numPr>
      </w:pPr>
      <w:r w:rsidRPr="00840DE3">
        <w:t>Bad drug p</w:t>
      </w:r>
      <w:r w:rsidR="00A65794" w:rsidRPr="00840DE3">
        <w:t>artner</w:t>
      </w:r>
      <w:r w:rsidR="00C15335" w:rsidRPr="00840DE3">
        <w:t>:</w:t>
      </w:r>
    </w:p>
    <w:p w14:paraId="171030D4" w14:textId="02B3972D" w:rsidR="00A13B46" w:rsidRPr="00840DE3" w:rsidRDefault="00D979B4" w:rsidP="00A13B46">
      <w:pPr>
        <w:pStyle w:val="ListParagraph"/>
        <w:numPr>
          <w:ilvl w:val="1"/>
          <w:numId w:val="9"/>
        </w:numPr>
      </w:pPr>
      <w:r w:rsidRPr="00840DE3">
        <w:t xml:space="preserve">Other DPP-4 </w:t>
      </w:r>
      <w:r w:rsidR="00B574B9" w:rsidRPr="00840DE3">
        <w:t>inhibitors:</w:t>
      </w:r>
      <w:r w:rsidRPr="00840DE3">
        <w:t xml:space="preserve"> </w:t>
      </w:r>
      <w:r w:rsidR="00B574B9" w:rsidRPr="00840DE3">
        <w:t>d</w:t>
      </w:r>
      <w:r w:rsidRPr="00840DE3">
        <w:t xml:space="preserve">o not start </w:t>
      </w:r>
      <w:r w:rsidR="00B574B9" w:rsidRPr="00840DE3">
        <w:t>s</w:t>
      </w:r>
      <w:r w:rsidRPr="00840DE3">
        <w:t>axagliptin if patient has an active prescription of other DPP-4 inhibitors</w:t>
      </w:r>
      <w:r w:rsidR="00A13B46" w:rsidRPr="00840DE3">
        <w:t>.</w:t>
      </w:r>
      <w:r w:rsidR="005A4768" w:rsidRPr="00840DE3">
        <w:t xml:space="preserve">  See Drug-related message below.</w:t>
      </w:r>
    </w:p>
    <w:p w14:paraId="198FF042" w14:textId="4338E109" w:rsidR="009B0405" w:rsidRPr="00840DE3" w:rsidRDefault="009B0405" w:rsidP="009B0405">
      <w:pPr>
        <w:pStyle w:val="ListParagraph"/>
        <w:numPr>
          <w:ilvl w:val="0"/>
          <w:numId w:val="9"/>
        </w:numPr>
      </w:pPr>
      <w:r w:rsidRPr="00840DE3">
        <w:t>Other Collateral messages, of message type=General info, that are issued when we recommend adding saxagliptin:</w:t>
      </w:r>
    </w:p>
    <w:p w14:paraId="4200CF9F" w14:textId="5BB3EC57" w:rsidR="009B0405" w:rsidRPr="00840DE3" w:rsidRDefault="009B0405" w:rsidP="009B0405">
      <w:pPr>
        <w:pStyle w:val="ListParagraph"/>
        <w:ind w:left="1440"/>
      </w:pPr>
      <w:r w:rsidRPr="00840DE3">
        <w:t>“Adjust saxagliptin for renal impairment or with CYP3A4/5 inhibitor.”</w:t>
      </w:r>
    </w:p>
    <w:p w14:paraId="26C1C059" w14:textId="15A1CAD7" w:rsidR="009B0405" w:rsidRPr="00840DE3" w:rsidRDefault="009B0405" w:rsidP="009B0405">
      <w:pPr>
        <w:pStyle w:val="ListParagraph"/>
        <w:numPr>
          <w:ilvl w:val="0"/>
          <w:numId w:val="37"/>
        </w:numPr>
      </w:pPr>
      <w:r w:rsidRPr="00840DE3">
        <w:t>Other messages, that are NOT collateral messages, related to saxagliptin</w:t>
      </w:r>
    </w:p>
    <w:p w14:paraId="0C9B27EF" w14:textId="0931C570" w:rsidR="005F1385" w:rsidRPr="00840DE3" w:rsidRDefault="009B0405" w:rsidP="003B1CF7">
      <w:pPr>
        <w:pStyle w:val="ListParagraph"/>
        <w:numPr>
          <w:ilvl w:val="1"/>
          <w:numId w:val="37"/>
        </w:numPr>
      </w:pPr>
      <w:r w:rsidRPr="00840DE3">
        <w:t xml:space="preserve">If patient has an active prescription of saxagliptin and dose&gt;2.5 and eGFR &lt;45 in the past year, then the following Drug-related message will be displayed: </w:t>
      </w:r>
    </w:p>
    <w:p w14:paraId="3EBB3BF7" w14:textId="77777777" w:rsidR="005A4768" w:rsidRPr="00840DE3" w:rsidRDefault="009B0405" w:rsidP="009B0405">
      <w:pPr>
        <w:pStyle w:val="ListParagraph"/>
        <w:ind w:left="1800"/>
      </w:pPr>
      <w:r w:rsidRPr="00840DE3">
        <w:t>“ALERT: Decrease saxagliptin dose to 2.5 when GFR ?value (?date) less than 45.”</w:t>
      </w:r>
    </w:p>
    <w:p w14:paraId="4C41D6BF" w14:textId="4DCD5C61" w:rsidR="006D473D" w:rsidRPr="00840DE3" w:rsidRDefault="005A4768" w:rsidP="005A4768">
      <w:pPr>
        <w:pStyle w:val="ListParagraph"/>
        <w:numPr>
          <w:ilvl w:val="1"/>
          <w:numId w:val="37"/>
        </w:numPr>
      </w:pPr>
      <w:r w:rsidRPr="00840DE3">
        <w:t>If a patient has active prescriptions of two DPP4 inhibitors, the following Drug-related message will be displayed:</w:t>
      </w:r>
    </w:p>
    <w:p w14:paraId="1A3A68A6" w14:textId="0EFA2082" w:rsidR="005A4768" w:rsidRPr="00840DE3" w:rsidRDefault="005A4768" w:rsidP="005A4768">
      <w:pPr>
        <w:pStyle w:val="ListParagraph"/>
        <w:ind w:left="1800"/>
      </w:pPr>
      <w:r w:rsidRPr="00840DE3">
        <w:t>“Stop one of the 2 DPP4 inhibitors.”</w:t>
      </w:r>
    </w:p>
    <w:p w14:paraId="08F43E30" w14:textId="5021E5DC" w:rsidR="009B60C9" w:rsidRPr="00840DE3" w:rsidRDefault="009B60C9" w:rsidP="009B60C9">
      <w:pPr>
        <w:pStyle w:val="ListParagraph"/>
        <w:numPr>
          <w:ilvl w:val="0"/>
          <w:numId w:val="32"/>
        </w:numPr>
      </w:pPr>
      <w:r w:rsidRPr="00840DE3">
        <w:t>If patient is not at goal and the dose of saxagliptin&gt;2.4, and we cannot increase the dose because eGFR &lt; 45 in the past year, we will recommend adding a new drug, and issue the following Drug related message:</w:t>
      </w:r>
    </w:p>
    <w:p w14:paraId="1D02673F" w14:textId="77777777" w:rsidR="009B60C9" w:rsidRPr="00840DE3" w:rsidRDefault="009B60C9" w:rsidP="009B60C9">
      <w:pPr>
        <w:pStyle w:val="ListParagraph"/>
        <w:spacing w:after="0"/>
        <w:ind w:left="1800"/>
      </w:pPr>
      <w:r w:rsidRPr="00840DE3">
        <w:t>“Not able to increase ?notMaxDose.  Adding another DM med.”</w:t>
      </w:r>
    </w:p>
    <w:p w14:paraId="003F8B05" w14:textId="43C26A48" w:rsidR="009B60C9" w:rsidRPr="00840DE3" w:rsidRDefault="009B60C9" w:rsidP="009B60C9">
      <w:pPr>
        <w:pStyle w:val="ListParagraph"/>
        <w:spacing w:after="0"/>
        <w:ind w:left="1800"/>
      </w:pPr>
      <w:r w:rsidRPr="00840DE3">
        <w:t>Where ?notMaxDose is the name of the drug (saxagliptin) .</w:t>
      </w:r>
    </w:p>
    <w:p w14:paraId="423C1493" w14:textId="77777777" w:rsidR="009B60C9" w:rsidRPr="00840DE3" w:rsidRDefault="009B60C9" w:rsidP="009B60C9"/>
    <w:p w14:paraId="00900F98" w14:textId="2C30D892" w:rsidR="003B1CF7" w:rsidRPr="00840DE3" w:rsidRDefault="003B1CF7" w:rsidP="003B1CF7">
      <w:pPr>
        <w:ind w:left="0"/>
      </w:pPr>
    </w:p>
    <w:p w14:paraId="51193FB9" w14:textId="16DCD552" w:rsidR="006301B9" w:rsidRPr="00840DE3" w:rsidRDefault="00F55313" w:rsidP="00287D6E">
      <w:pPr>
        <w:pStyle w:val="Heading3"/>
      </w:pPr>
      <w:r w:rsidRPr="00840DE3">
        <w:t>Empagliflozin, s</w:t>
      </w:r>
      <w:r w:rsidR="005A64D0" w:rsidRPr="00840DE3">
        <w:t>econd line therapy</w:t>
      </w:r>
    </w:p>
    <w:p w14:paraId="124B9222" w14:textId="59BF4BA3" w:rsidR="00F55313" w:rsidRPr="00840DE3" w:rsidRDefault="00F55313" w:rsidP="00F55313">
      <w:r w:rsidRPr="00840DE3">
        <w:rPr>
          <w:rStyle w:val="Strong"/>
        </w:rPr>
        <w:t>Drug class:</w:t>
      </w:r>
      <w:r w:rsidRPr="00840DE3">
        <w:t xml:space="preserve"> sodium-glucose cotransporter-2 (SGLT2) inhibitors</w:t>
      </w:r>
    </w:p>
    <w:p w14:paraId="2D13B912" w14:textId="36E4ABDF" w:rsidR="007554F9" w:rsidRPr="00840DE3" w:rsidRDefault="00287D6E" w:rsidP="007D262D">
      <w:r w:rsidRPr="00840DE3">
        <w:t xml:space="preserve">Recommendations based on </w:t>
      </w:r>
      <w:r w:rsidR="00CA4CB3" w:rsidRPr="00840DE3">
        <w:t xml:space="preserve">VA Pharmacy Benefits Management Services </w:t>
      </w:r>
      <w:r w:rsidR="007D262D" w:rsidRPr="00840DE3">
        <w:t>“</w:t>
      </w:r>
      <w:r w:rsidRPr="00840DE3">
        <w:t>Criteria for Use</w:t>
      </w:r>
      <w:r w:rsidR="007D262D" w:rsidRPr="00840DE3">
        <w:t>”</w:t>
      </w:r>
      <w:r w:rsidR="007554F9" w:rsidRPr="00840DE3">
        <w:t xml:space="preserve"> </w:t>
      </w:r>
      <w:sdt>
        <w:sdtPr>
          <w:id w:val="-274481065"/>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FF00A9" w:rsidRPr="00840DE3">
        <w:t xml:space="preserve"> and New England Journal article </w:t>
      </w:r>
      <w:r w:rsidR="007D262D" w:rsidRPr="00840DE3">
        <w:t>“Empagliflozin, Cardiovascular Outcomes, and Mortality in Type 2 Diabetes”</w:t>
      </w:r>
      <w:r w:rsidR="00FF00A9" w:rsidRPr="00840DE3">
        <w:t xml:space="preserve"> </w:t>
      </w:r>
      <w:sdt>
        <w:sdtPr>
          <w:id w:val="245853574"/>
          <w:citation/>
        </w:sdtPr>
        <w:sdtEndPr/>
        <w:sdtContent>
          <w:r w:rsidR="00FF00A9" w:rsidRPr="00840DE3">
            <w:fldChar w:fldCharType="begin"/>
          </w:r>
          <w:r w:rsidR="002B33A2" w:rsidRPr="00840DE3">
            <w:instrText xml:space="preserve">CITATION Zin15 \l 1033 </w:instrText>
          </w:r>
          <w:r w:rsidR="00FF00A9" w:rsidRPr="00840DE3">
            <w:fldChar w:fldCharType="separate"/>
          </w:r>
          <w:r w:rsidR="002D2317" w:rsidRPr="00840DE3">
            <w:rPr>
              <w:noProof/>
            </w:rPr>
            <w:t>(7)</w:t>
          </w:r>
          <w:r w:rsidR="00FF00A9" w:rsidRPr="00840DE3">
            <w:fldChar w:fldCharType="end"/>
          </w:r>
        </w:sdtContent>
      </w:sdt>
      <w:r w:rsidR="00526717" w:rsidRPr="00840DE3">
        <w:t xml:space="preserve"> </w:t>
      </w:r>
      <w:sdt>
        <w:sdtPr>
          <w:id w:val="1752689641"/>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7554F9" w:rsidRPr="00840DE3">
        <w:t>.</w:t>
      </w:r>
      <w:r w:rsidR="00FF00A9" w:rsidRPr="00840DE3">
        <w:t xml:space="preserve"> Use of this drug is indicated </w:t>
      </w:r>
      <w:r w:rsidR="003E4115" w:rsidRPr="00840DE3">
        <w:t xml:space="preserve">only </w:t>
      </w:r>
      <w:r w:rsidR="00FF00A9" w:rsidRPr="00840DE3">
        <w:t>in the presence of CVD.</w:t>
      </w:r>
    </w:p>
    <w:p w14:paraId="51F08E64" w14:textId="3739CC00" w:rsidR="00ED2681" w:rsidRPr="00840DE3" w:rsidRDefault="006301B9" w:rsidP="00BF22F2">
      <w:pPr>
        <w:pStyle w:val="ListParagraph"/>
        <w:numPr>
          <w:ilvl w:val="0"/>
          <w:numId w:val="12"/>
        </w:numPr>
      </w:pPr>
      <w:r w:rsidRPr="00840DE3">
        <w:t>Relative indication</w:t>
      </w:r>
      <w:r w:rsidR="00C15335" w:rsidRPr="00840DE3">
        <w:t>:</w:t>
      </w:r>
    </w:p>
    <w:p w14:paraId="37ACBA51" w14:textId="76DB808A" w:rsidR="00ED2681" w:rsidRPr="00840DE3" w:rsidRDefault="006301B9" w:rsidP="00DA2DAB">
      <w:pPr>
        <w:pStyle w:val="ListParagraph"/>
        <w:numPr>
          <w:ilvl w:val="1"/>
          <w:numId w:val="12"/>
        </w:numPr>
        <w:rPr>
          <w:rStyle w:val="IntenseEmphasis"/>
          <w:iCs w:val="0"/>
          <w:color w:val="auto"/>
          <w:u w:val="none"/>
        </w:rPr>
      </w:pPr>
      <w:r w:rsidRPr="00840DE3">
        <w:t xml:space="preserve">CVD </w:t>
      </w:r>
      <w:r w:rsidR="00C169B4" w:rsidRPr="00840DE3">
        <w:t>as defined by</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_Ref491906565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_Ref491906567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p>
    <w:p w14:paraId="32B1DDAF" w14:textId="4482D529" w:rsidR="00ED2681" w:rsidRPr="00840DE3" w:rsidRDefault="006301B9" w:rsidP="00BF22F2">
      <w:pPr>
        <w:pStyle w:val="ListParagraph"/>
        <w:numPr>
          <w:ilvl w:val="0"/>
          <w:numId w:val="12"/>
        </w:numPr>
      </w:pPr>
      <w:r w:rsidRPr="00840DE3">
        <w:t>Absolute contraindication</w:t>
      </w:r>
      <w:r w:rsidR="00C15335" w:rsidRPr="00840DE3">
        <w:t>:</w:t>
      </w:r>
    </w:p>
    <w:p w14:paraId="5CE861D9" w14:textId="07DE8521" w:rsidR="00ED2681" w:rsidRPr="00840DE3" w:rsidRDefault="006301B9" w:rsidP="00BF22F2">
      <w:pPr>
        <w:pStyle w:val="ListParagraph"/>
        <w:numPr>
          <w:ilvl w:val="1"/>
          <w:numId w:val="12"/>
        </w:numPr>
      </w:pPr>
      <w:r w:rsidRPr="00840DE3">
        <w:t>Absence of empagliflozin and eGFR</w:t>
      </w:r>
      <w:r w:rsidR="00FA302A" w:rsidRPr="00840DE3">
        <w:t xml:space="preserve"> </w:t>
      </w:r>
      <w:r w:rsidRPr="00840DE3">
        <w:t>&lt;</w:t>
      </w:r>
      <w:r w:rsidR="00FA302A" w:rsidRPr="00840DE3">
        <w:t xml:space="preserve"> </w:t>
      </w:r>
      <w:r w:rsidRPr="00840DE3">
        <w:t xml:space="preserve">45 in past </w:t>
      </w:r>
      <w:r w:rsidR="000E0CC9" w:rsidRPr="00840DE3">
        <w:t>30 days</w:t>
      </w:r>
    </w:p>
    <w:p w14:paraId="77DDD50F" w14:textId="13896C30" w:rsidR="00ED2681" w:rsidRPr="00840DE3" w:rsidRDefault="006301B9" w:rsidP="00BF22F2">
      <w:pPr>
        <w:pStyle w:val="ListParagraph"/>
        <w:numPr>
          <w:ilvl w:val="1"/>
          <w:numId w:val="12"/>
        </w:numPr>
      </w:pPr>
      <w:r w:rsidRPr="00840DE3">
        <w:t>Presence of empagliflozin and eGFR</w:t>
      </w:r>
      <w:r w:rsidR="00FA302A" w:rsidRPr="00840DE3">
        <w:t xml:space="preserve"> </w:t>
      </w:r>
      <w:r w:rsidRPr="00840DE3">
        <w:t>&lt;</w:t>
      </w:r>
      <w:r w:rsidR="00FA302A" w:rsidRPr="00840DE3">
        <w:t xml:space="preserve"> </w:t>
      </w:r>
      <w:r w:rsidRPr="00840DE3">
        <w:t>45 in past year</w:t>
      </w:r>
    </w:p>
    <w:p w14:paraId="1A083107" w14:textId="463DE51A" w:rsidR="00F800F6" w:rsidRPr="00840DE3" w:rsidRDefault="00F800F6" w:rsidP="00F800F6">
      <w:pPr>
        <w:pStyle w:val="ListParagraph"/>
        <w:numPr>
          <w:ilvl w:val="1"/>
          <w:numId w:val="12"/>
        </w:numPr>
      </w:pPr>
      <w:r w:rsidRPr="00840DE3">
        <w:t>ADR of anaphylaxis to SGLT2 inhibitors</w:t>
      </w:r>
    </w:p>
    <w:p w14:paraId="0D85CB10" w14:textId="77777777" w:rsidR="00ED2681" w:rsidRPr="00840DE3" w:rsidRDefault="006301B9" w:rsidP="00BF22F2">
      <w:pPr>
        <w:pStyle w:val="ListParagraph"/>
        <w:numPr>
          <w:ilvl w:val="0"/>
          <w:numId w:val="12"/>
        </w:numPr>
      </w:pPr>
      <w:r w:rsidRPr="00840DE3">
        <w:t>Relative contraindication (none)</w:t>
      </w:r>
    </w:p>
    <w:p w14:paraId="5BE9003E" w14:textId="77777777" w:rsidR="00ED2681" w:rsidRPr="00840DE3" w:rsidRDefault="006301B9" w:rsidP="00BF22F2">
      <w:pPr>
        <w:pStyle w:val="ListParagraph"/>
        <w:numPr>
          <w:ilvl w:val="0"/>
          <w:numId w:val="12"/>
        </w:numPr>
      </w:pPr>
      <w:r w:rsidRPr="00840DE3">
        <w:t xml:space="preserve">Do not start </w:t>
      </w:r>
      <w:r w:rsidR="00480AAD" w:rsidRPr="00840DE3">
        <w:t>controllable criteria</w:t>
      </w:r>
    </w:p>
    <w:p w14:paraId="43BBCF33" w14:textId="77777777" w:rsidR="00ED2681" w:rsidRPr="00840DE3" w:rsidRDefault="006301B9" w:rsidP="00BF22F2">
      <w:pPr>
        <w:pStyle w:val="ListParagraph"/>
        <w:numPr>
          <w:ilvl w:val="1"/>
          <w:numId w:val="12"/>
        </w:numPr>
      </w:pPr>
      <w:r w:rsidRPr="00840DE3">
        <w:t xml:space="preserve">Absence of eGFR in past </w:t>
      </w:r>
      <w:r w:rsidR="0044316A" w:rsidRPr="00840DE3">
        <w:t>30 days</w:t>
      </w:r>
    </w:p>
    <w:p w14:paraId="2DB87218" w14:textId="77777777" w:rsidR="00CB5620" w:rsidRPr="00840DE3" w:rsidRDefault="00CB5620" w:rsidP="00CB5620">
      <w:pPr>
        <w:pStyle w:val="ListParagraph"/>
        <w:ind w:left="1800"/>
      </w:pPr>
      <w:r w:rsidRPr="00840DE3">
        <w:t>If a patient is missing an eGFR in the past 30 days, we will order a new eGFR and one of the following three collateral “do not start controllable” messages will be issues:</w:t>
      </w:r>
    </w:p>
    <w:p w14:paraId="17FDC927" w14:textId="77777777"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on screen message will be displayed:</w:t>
      </w:r>
    </w:p>
    <w:p w14:paraId="7E1AAD1D" w14:textId="150D0F5F" w:rsidR="00CB5620" w:rsidRPr="00840DE3" w:rsidRDefault="00CB5620" w:rsidP="00CB5620">
      <w:pPr>
        <w:pStyle w:val="FootnoteText"/>
        <w:ind w:left="3240"/>
        <w:rPr>
          <w:sz w:val="24"/>
          <w:szCs w:val="24"/>
        </w:rPr>
      </w:pPr>
      <w:r w:rsidRPr="00840DE3">
        <w:rPr>
          <w:sz w:val="24"/>
          <w:szCs w:val="24"/>
        </w:rPr>
        <w:t>“Would add empa, but missing GFR.”</w:t>
      </w:r>
    </w:p>
    <w:p w14:paraId="60702A78" w14:textId="77777777"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4A1A1DE0" w14:textId="32A15EC3" w:rsidR="00CB5620" w:rsidRPr="00840DE3" w:rsidRDefault="00CB5620" w:rsidP="00CB5620">
      <w:pPr>
        <w:pStyle w:val="FootnoteText"/>
        <w:numPr>
          <w:ilvl w:val="3"/>
          <w:numId w:val="9"/>
        </w:numPr>
        <w:rPr>
          <w:sz w:val="24"/>
          <w:szCs w:val="24"/>
        </w:rPr>
      </w:pPr>
      <w:r w:rsidRPr="00840DE3">
        <w:rPr>
          <w:sz w:val="24"/>
          <w:szCs w:val="24"/>
        </w:rPr>
        <w:t xml:space="preserve">“Would add empa, but old GFR: ?value (?date).” </w:t>
      </w:r>
    </w:p>
    <w:p w14:paraId="66F903DF"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7A16789F"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4B1E5A35" w14:textId="6DB7A1B0" w:rsidR="00CB5620" w:rsidRPr="00840DE3" w:rsidRDefault="00CB5620" w:rsidP="00CB5620">
      <w:pPr>
        <w:pStyle w:val="ListParagraph"/>
        <w:numPr>
          <w:ilvl w:val="3"/>
          <w:numId w:val="9"/>
        </w:numPr>
      </w:pPr>
      <w:r w:rsidRPr="00840DE3">
        <w:t>“Cannot recommend adding empa when GFR &lt; 45 and old: ?value (?date)</w:t>
      </w:r>
      <w:r w:rsidRPr="00840DE3">
        <w:rPr>
          <w:szCs w:val="24"/>
        </w:rPr>
        <w:t>”</w:t>
      </w:r>
    </w:p>
    <w:p w14:paraId="4A36A72E" w14:textId="77777777" w:rsidR="00CB5620" w:rsidRPr="00840DE3" w:rsidRDefault="00CB5620" w:rsidP="00CB5620">
      <w:pPr>
        <w:pStyle w:val="ListParagraph"/>
        <w:ind w:left="1800"/>
      </w:pPr>
    </w:p>
    <w:p w14:paraId="452691D9" w14:textId="2B50B4EF" w:rsidR="00ED2681" w:rsidRPr="00840DE3" w:rsidRDefault="00480AAD" w:rsidP="00BF22F2">
      <w:pPr>
        <w:pStyle w:val="ListParagraph"/>
        <w:numPr>
          <w:ilvl w:val="0"/>
          <w:numId w:val="12"/>
        </w:numPr>
      </w:pPr>
      <w:r w:rsidRPr="00840DE3">
        <w:t xml:space="preserve">Do not start </w:t>
      </w:r>
      <w:r w:rsidR="003C0607" w:rsidRPr="00840DE3">
        <w:t>un</w:t>
      </w:r>
      <w:r w:rsidR="005F1385" w:rsidRPr="00840DE3">
        <w:t>controllable criteria (none)</w:t>
      </w:r>
    </w:p>
    <w:p w14:paraId="0E1E141A" w14:textId="7C057D7A" w:rsidR="00ED2681" w:rsidRPr="00840DE3" w:rsidRDefault="006301B9" w:rsidP="00BF22F2">
      <w:pPr>
        <w:pStyle w:val="ListParagraph"/>
        <w:numPr>
          <w:ilvl w:val="0"/>
          <w:numId w:val="12"/>
        </w:numPr>
      </w:pPr>
      <w:r w:rsidRPr="00840DE3">
        <w:t xml:space="preserve">Do not intensify </w:t>
      </w:r>
      <w:r w:rsidR="00480AAD" w:rsidRPr="00840DE3">
        <w:t>controllable criteria</w:t>
      </w:r>
      <w:r w:rsidR="00C15335" w:rsidRPr="00840DE3">
        <w:t>:</w:t>
      </w:r>
    </w:p>
    <w:p w14:paraId="426BDB02" w14:textId="77777777" w:rsidR="00ED2681" w:rsidRPr="00840DE3" w:rsidRDefault="006301B9" w:rsidP="00BF22F2">
      <w:pPr>
        <w:pStyle w:val="ListParagraph"/>
        <w:numPr>
          <w:ilvl w:val="1"/>
          <w:numId w:val="12"/>
        </w:numPr>
      </w:pPr>
      <w:r w:rsidRPr="00840DE3">
        <w:t>Absence of eGFR in past year</w:t>
      </w:r>
    </w:p>
    <w:p w14:paraId="62FBB10D" w14:textId="306C8BF7" w:rsidR="00CB5620" w:rsidRPr="00840DE3" w:rsidRDefault="00CB5620" w:rsidP="00CB5620">
      <w:pPr>
        <w:pStyle w:val="ListParagraph"/>
        <w:ind w:left="1800"/>
      </w:pPr>
      <w:r w:rsidRPr="00840DE3">
        <w:t>If a patient is missing an eGFR in the past year, we will order a new eGFR and one of the following three collateral “do not intensify controllable” messages will be issues:</w:t>
      </w:r>
    </w:p>
    <w:p w14:paraId="6CC42194" w14:textId="4F425800"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message will be displayed:</w:t>
      </w:r>
    </w:p>
    <w:p w14:paraId="3B490D26" w14:textId="7FAD4E61" w:rsidR="00CB5620" w:rsidRPr="00840DE3" w:rsidRDefault="00CB5620" w:rsidP="00CB5620">
      <w:pPr>
        <w:pStyle w:val="FootnoteText"/>
        <w:ind w:left="3240"/>
        <w:rPr>
          <w:sz w:val="24"/>
          <w:szCs w:val="24"/>
        </w:rPr>
      </w:pPr>
      <w:r w:rsidRPr="00840DE3">
        <w:rPr>
          <w:sz w:val="24"/>
          <w:szCs w:val="24"/>
        </w:rPr>
        <w:t>“Would increase empa, but missing GFR.”</w:t>
      </w:r>
    </w:p>
    <w:p w14:paraId="7C8A314F" w14:textId="3F36C69A"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5C92A0FA" w14:textId="1D397EF2" w:rsidR="00CB5620" w:rsidRPr="00840DE3" w:rsidRDefault="00CB5620" w:rsidP="00CB5620">
      <w:pPr>
        <w:pStyle w:val="FootnoteText"/>
        <w:numPr>
          <w:ilvl w:val="3"/>
          <w:numId w:val="9"/>
        </w:numPr>
        <w:rPr>
          <w:sz w:val="24"/>
          <w:szCs w:val="24"/>
        </w:rPr>
      </w:pPr>
      <w:r w:rsidRPr="00840DE3">
        <w:rPr>
          <w:sz w:val="24"/>
          <w:szCs w:val="24"/>
        </w:rPr>
        <w:t xml:space="preserve">“Would increase empa, but old GFR: ?value (?date).” </w:t>
      </w:r>
    </w:p>
    <w:p w14:paraId="00368BA3"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4797A682"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1FDBAF35" w14:textId="0C23D675" w:rsidR="00CB5620" w:rsidRPr="00840DE3" w:rsidRDefault="00CB5620" w:rsidP="00CB5620">
      <w:pPr>
        <w:pStyle w:val="ListParagraph"/>
        <w:numPr>
          <w:ilvl w:val="3"/>
          <w:numId w:val="9"/>
        </w:numPr>
      </w:pPr>
      <w:r w:rsidRPr="00840DE3">
        <w:t>“Cannot recommend increasing when GFR &lt; 45 and old: ?value (?date)</w:t>
      </w:r>
      <w:r w:rsidRPr="00840DE3">
        <w:rPr>
          <w:szCs w:val="24"/>
        </w:rPr>
        <w:t>”</w:t>
      </w:r>
    </w:p>
    <w:p w14:paraId="5B36DE51" w14:textId="77777777" w:rsidR="00CB5620" w:rsidRPr="00840DE3" w:rsidRDefault="00CB5620" w:rsidP="00CB5620">
      <w:pPr>
        <w:pStyle w:val="ListParagraph"/>
        <w:ind w:left="1800"/>
      </w:pPr>
    </w:p>
    <w:p w14:paraId="7F57AA35" w14:textId="38546DC8" w:rsidR="00ED2681" w:rsidRPr="00840DE3" w:rsidRDefault="00480AAD" w:rsidP="00BF22F2">
      <w:pPr>
        <w:pStyle w:val="ListParagraph"/>
        <w:numPr>
          <w:ilvl w:val="0"/>
          <w:numId w:val="12"/>
        </w:numPr>
      </w:pPr>
      <w:r w:rsidRPr="00840DE3">
        <w:t xml:space="preserve">Do not </w:t>
      </w:r>
      <w:r w:rsidR="003C0607" w:rsidRPr="00840DE3">
        <w:t>intensify un</w:t>
      </w:r>
      <w:r w:rsidR="005F1385" w:rsidRPr="00840DE3">
        <w:t>controllable criteria</w:t>
      </w:r>
      <w:r w:rsidR="009170FE" w:rsidRPr="00840DE3">
        <w:t xml:space="preserve"> (none)</w:t>
      </w:r>
    </w:p>
    <w:p w14:paraId="2757CFA6" w14:textId="35AF0D9A" w:rsidR="00ED2681" w:rsidRPr="00840DE3" w:rsidRDefault="006301B9" w:rsidP="00BF22F2">
      <w:pPr>
        <w:pStyle w:val="ListParagraph"/>
        <w:numPr>
          <w:ilvl w:val="0"/>
          <w:numId w:val="12"/>
        </w:numPr>
      </w:pPr>
      <w:r w:rsidRPr="00840DE3">
        <w:t xml:space="preserve">Bad </w:t>
      </w:r>
      <w:r w:rsidR="0022602E" w:rsidRPr="00840DE3">
        <w:t>d</w:t>
      </w:r>
      <w:r w:rsidRPr="00840DE3">
        <w:t xml:space="preserve">rug </w:t>
      </w:r>
      <w:r w:rsidR="0022602E" w:rsidRPr="00840DE3">
        <w:t>p</w:t>
      </w:r>
      <w:r w:rsidR="00A65794" w:rsidRPr="00840DE3">
        <w:t>artner</w:t>
      </w:r>
      <w:r w:rsidR="00C15335" w:rsidRPr="00840DE3">
        <w:t>:</w:t>
      </w:r>
    </w:p>
    <w:p w14:paraId="0C77E05E" w14:textId="2BB96710" w:rsidR="00B31B95" w:rsidRPr="00840DE3" w:rsidRDefault="0022602E" w:rsidP="00BF22F2">
      <w:pPr>
        <w:pStyle w:val="ListParagraph"/>
        <w:numPr>
          <w:ilvl w:val="1"/>
          <w:numId w:val="12"/>
        </w:numPr>
      </w:pPr>
      <w:r w:rsidRPr="00840DE3">
        <w:t>O</w:t>
      </w:r>
      <w:r w:rsidR="006301B9" w:rsidRPr="00840DE3">
        <w:t>ther SGLT2 inhibitors</w:t>
      </w:r>
      <w:r w:rsidR="00ED2681" w:rsidRPr="00840DE3">
        <w:t>:</w:t>
      </w:r>
      <w:r w:rsidR="00A927BD" w:rsidRPr="00840DE3">
        <w:t xml:space="preserve"> </w:t>
      </w:r>
      <w:r w:rsidR="00ED2681" w:rsidRPr="00840DE3">
        <w:t>d</w:t>
      </w:r>
      <w:r w:rsidR="006301B9" w:rsidRPr="00840DE3">
        <w:t xml:space="preserve">o not start empagliflozin if patient </w:t>
      </w:r>
      <w:r w:rsidR="008C7BEC" w:rsidRPr="00840DE3">
        <w:t>has active prescriptions for</w:t>
      </w:r>
      <w:r w:rsidR="00ED2681" w:rsidRPr="00840DE3">
        <w:t xml:space="preserve"> other SGLT2 inhibitors</w:t>
      </w:r>
      <w:r w:rsidR="005A4768" w:rsidRPr="00840DE3">
        <w:t>.  See Drug-related message below.</w:t>
      </w:r>
    </w:p>
    <w:p w14:paraId="59A55069" w14:textId="1FFF969D" w:rsidR="00A13B46" w:rsidRPr="00840DE3" w:rsidRDefault="00A13B46" w:rsidP="00A13B46">
      <w:pPr>
        <w:pStyle w:val="ListParagraph"/>
        <w:numPr>
          <w:ilvl w:val="0"/>
          <w:numId w:val="12"/>
        </w:numPr>
      </w:pPr>
      <w:r w:rsidRPr="00840DE3">
        <w:t>Other Collateral messages, of message type=General info (none)</w:t>
      </w:r>
    </w:p>
    <w:p w14:paraId="42C31BA7" w14:textId="4620F36B" w:rsidR="00A13B46" w:rsidRPr="00840DE3" w:rsidRDefault="00A13B46" w:rsidP="00A13B46">
      <w:pPr>
        <w:pStyle w:val="ListParagraph"/>
        <w:numPr>
          <w:ilvl w:val="0"/>
          <w:numId w:val="12"/>
        </w:numPr>
      </w:pPr>
      <w:r w:rsidRPr="00840DE3">
        <w:t>Other messages, that are NOT collateral messages, related to empagliflozin</w:t>
      </w:r>
    </w:p>
    <w:p w14:paraId="28D21F18" w14:textId="70E4E0DA" w:rsidR="00A13B46" w:rsidRPr="00840DE3" w:rsidRDefault="00A13B46" w:rsidP="00A13B46">
      <w:pPr>
        <w:pStyle w:val="ListParagraph"/>
        <w:numPr>
          <w:ilvl w:val="1"/>
          <w:numId w:val="12"/>
        </w:numPr>
      </w:pPr>
      <w:r w:rsidRPr="00840DE3">
        <w:t>If the patient has active prescriptions of two SGLT2 inhibitors, the following Drug-related message will be displayed</w:t>
      </w:r>
    </w:p>
    <w:p w14:paraId="792739E4" w14:textId="6CDD0962" w:rsidR="00A13B46" w:rsidRPr="00840DE3" w:rsidRDefault="00A13B46" w:rsidP="00A13B46">
      <w:pPr>
        <w:pStyle w:val="ListParagraph"/>
        <w:ind w:left="1800"/>
      </w:pPr>
      <w:r w:rsidRPr="00840DE3">
        <w:t>“Stop one of the 2 SGLT2 inhibitors.”</w:t>
      </w:r>
    </w:p>
    <w:p w14:paraId="6DE72B6C" w14:textId="432BF480" w:rsidR="00B31B95" w:rsidRPr="00840DE3" w:rsidRDefault="00B31B95" w:rsidP="00F12FCF">
      <w:pPr>
        <w:pStyle w:val="Heading1"/>
      </w:pPr>
      <w:r w:rsidRPr="00840DE3">
        <w:t xml:space="preserve"> </w:t>
      </w:r>
      <w:bookmarkStart w:id="30" w:name="_Ref491887023"/>
      <w:bookmarkStart w:id="31" w:name="_Ref491887026"/>
      <w:bookmarkStart w:id="32" w:name="_Ref491888513"/>
      <w:bookmarkStart w:id="33" w:name="_Ref491888516"/>
      <w:bookmarkStart w:id="34" w:name="_Toc515553652"/>
      <w:r w:rsidRPr="00840DE3">
        <w:t>Behavior of the CDS</w:t>
      </w:r>
      <w:bookmarkEnd w:id="30"/>
      <w:bookmarkEnd w:id="31"/>
      <w:bookmarkEnd w:id="32"/>
      <w:bookmarkEnd w:id="33"/>
      <w:bookmarkEnd w:id="34"/>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77777777" w:rsidR="00B62B36" w:rsidRPr="00840DE3"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7914BCE4" w14:textId="106B4C04" w:rsidR="00ED61CD" w:rsidRDefault="00B31B95" w:rsidP="002E5BE6">
      <w:pPr>
        <w:pStyle w:val="ListParagraph"/>
        <w:numPr>
          <w:ilvl w:val="0"/>
          <w:numId w:val="28"/>
        </w:numPr>
      </w:pPr>
      <w:r w:rsidRPr="00840DE3">
        <w:t xml:space="preserve">If a patient </w:t>
      </w:r>
      <w:r w:rsidR="00ED61CD">
        <w:t>has an active prescription of insulin or insulin syringe and therefore is</w:t>
      </w:r>
      <w:r w:rsidR="00774BBA" w:rsidRPr="00840DE3">
        <w:t xml:space="preserve"> </w:t>
      </w:r>
      <w:r w:rsidR="005E0D51" w:rsidRPr="00840DE3">
        <w:t>“</w:t>
      </w:r>
      <w:r w:rsidRPr="00840DE3">
        <w:t>out of scope</w:t>
      </w:r>
      <w:r w:rsidR="00ED61CD">
        <w:t>.”</w:t>
      </w:r>
    </w:p>
    <w:p w14:paraId="7F4FFAC2" w14:textId="57885DAD" w:rsidR="002E5DE6" w:rsidRDefault="002E5DE6" w:rsidP="002E5DE6">
      <w:pPr>
        <w:pStyle w:val="ListParagraph"/>
        <w:ind w:left="1440"/>
      </w:pPr>
      <w:r>
        <w:t xml:space="preserve">If a patient does </w:t>
      </w:r>
      <w:r w:rsidRPr="002E5DE6">
        <w:rPr>
          <w:i/>
        </w:rPr>
        <w:t>not</w:t>
      </w:r>
      <w:r>
        <w:t xml:space="preserve"> have an active prescription of insulin, but </w:t>
      </w:r>
      <w:r w:rsidRPr="002E5DE6">
        <w:rPr>
          <w:i/>
        </w:rPr>
        <w:t>does</w:t>
      </w:r>
      <w:r>
        <w:t xml:space="preserve"> have a diagnosis of “Long term use of insulin” (</w:t>
      </w:r>
      <w:r w:rsidRPr="002E5DE6">
        <w:rPr>
          <w:szCs w:val="24"/>
        </w:rPr>
        <w:t>icd9=</w:t>
      </w:r>
      <w:r w:rsidRPr="002E5DE6">
        <w:rPr>
          <w:rFonts w:ascii="Calibri" w:hAnsi="Calibri"/>
          <w:szCs w:val="24"/>
        </w:rPr>
        <w:t>V58.67</w:t>
      </w:r>
      <w:r w:rsidRPr="002E5DE6">
        <w:rPr>
          <w:rFonts w:ascii="Calibri" w:hAnsi="Calibri"/>
          <w:szCs w:val="24"/>
        </w:rPr>
        <w:t xml:space="preserve">, </w:t>
      </w:r>
      <w:bookmarkStart w:id="35" w:name="_GoBack"/>
      <w:bookmarkEnd w:id="35"/>
      <w:r w:rsidRPr="002E5DE6">
        <w:rPr>
          <w:rFonts w:ascii="Calibri" w:hAnsi="Calibri"/>
          <w:szCs w:val="24"/>
        </w:rPr>
        <w:t>icd10=</w:t>
      </w:r>
      <w:r w:rsidRPr="002E5DE6">
        <w:rPr>
          <w:rFonts w:ascii="Calibri" w:hAnsi="Calibri"/>
          <w:szCs w:val="24"/>
        </w:rPr>
        <w:t>Z79.4</w:t>
      </w:r>
      <w:r>
        <w:t>), then we issue a message:</w:t>
      </w:r>
    </w:p>
    <w:p w14:paraId="2BCDE064" w14:textId="0B6DB4B3" w:rsidR="002E5DE6" w:rsidRDefault="002E5DE6" w:rsidP="002E5DE6">
      <w:pPr>
        <w:pStyle w:val="ListParagraph"/>
        <w:ind w:left="1440"/>
      </w:pPr>
      <w:r>
        <w:t>“</w:t>
      </w:r>
      <w:r w:rsidRPr="002E5DE6">
        <w:t>Warning:  recommendations do not apply to patients taking insulin.</w:t>
      </w:r>
      <w:r>
        <w:t>”</w:t>
      </w:r>
    </w:p>
    <w:p w14:paraId="0A77C02A" w14:textId="43758235" w:rsidR="00B62B36" w:rsidRPr="00840DE3" w:rsidRDefault="00ED61CD" w:rsidP="002E5BE6">
      <w:pPr>
        <w:pStyle w:val="ListParagraph"/>
        <w:numPr>
          <w:ilvl w:val="0"/>
          <w:numId w:val="28"/>
        </w:numPr>
      </w:pPr>
      <w:r>
        <w:t xml:space="preserve">If a patient has other out of scope conditions,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possible </w:t>
      </w:r>
      <w:r w:rsidR="005B0F01" w:rsidRPr="00840DE3">
        <w:t>conditions:</w:t>
      </w:r>
    </w:p>
    <w:p w14:paraId="1F6FE920" w14:textId="38587039" w:rsidR="00B62B36" w:rsidRDefault="00B31B95" w:rsidP="002E5BE6">
      <w:pPr>
        <w:pStyle w:val="ListParagraph"/>
        <w:numPr>
          <w:ilvl w:val="1"/>
          <w:numId w:val="28"/>
        </w:numPr>
      </w:pPr>
      <w:bookmarkStart w:id="36" w:name="_Hlk509324731"/>
      <w:bookmarkStart w:id="37"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36"/>
      <w:r w:rsidR="00F71AC3">
        <w:t xml:space="preserve">from different drug classes </w:t>
      </w:r>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p w14:paraId="069C4ED3" w14:textId="1F0F92BD" w:rsidR="00F71AC3" w:rsidRPr="00840DE3" w:rsidRDefault="00F71AC3" w:rsidP="00F71AC3">
      <w:pPr>
        <w:pStyle w:val="ListParagraph"/>
        <w:ind w:left="2160"/>
      </w:pPr>
      <w:r>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37"/>
    <w:p w14:paraId="77B8A1E6" w14:textId="37A5EDC8"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8"/>
      </w:r>
      <w:r w:rsidR="00937559">
        <w:t>.</w:t>
      </w:r>
      <w:r w:rsidR="006A443B" w:rsidRPr="00840DE3">
        <w:t>)</w:t>
      </w:r>
    </w:p>
    <w:p w14:paraId="229453F1" w14:textId="2822CB8D" w:rsidR="00BD48AA" w:rsidRPr="00840DE3" w:rsidRDefault="00BD48AA" w:rsidP="00BD48AA">
      <w:pPr>
        <w:pStyle w:val="ListParagraph"/>
        <w:numPr>
          <w:ilvl w:val="0"/>
          <w:numId w:val="28"/>
        </w:numPr>
      </w:pPr>
      <w:r w:rsidRPr="00840DE3">
        <w:t xml:space="preserve">Or if </w:t>
      </w:r>
      <w:r w:rsidR="00ED61CD">
        <w:t>the following criterion</w:t>
      </w:r>
      <w:r w:rsidRPr="00840DE3">
        <w:t xml:space="preserve"> </w:t>
      </w:r>
      <w:r w:rsidR="00ED61CD">
        <w:t>is true</w:t>
      </w:r>
      <w:r w:rsidRPr="00840DE3">
        <w:t>:</w:t>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0467089C" w:rsidR="00B31B95" w:rsidRPr="00840DE3"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237E5891" w14:textId="2E8A530A" w:rsidR="00947C4D" w:rsidRPr="00840DE3"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for</w:t>
      </w:r>
      <w:r w:rsidR="00ED61CD">
        <w:t xml:space="preserve"> the presence of insulin or insulin syringe.</w:t>
      </w:r>
      <w:r w:rsidRPr="00840DE3">
        <w:t xml:space="preserve"> </w:t>
      </w:r>
      <w:r w:rsidR="00BD48AA" w:rsidRPr="00840DE3">
        <w:t>(#2)</w:t>
      </w:r>
      <w:r w:rsidRPr="00840DE3">
        <w:t xml:space="preserve">.  If </w:t>
      </w:r>
      <w:r w:rsidR="00ED61CD">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rsidR="00ED61CD">
        <w:t xml:space="preserve"> (#3)</w:t>
      </w:r>
      <w:r w:rsidRPr="00840DE3">
        <w:t>, then</w:t>
      </w:r>
      <w:r w:rsidR="00BD48AA" w:rsidRPr="00840DE3">
        <w:t xml:space="preserve"> out of scope</w:t>
      </w:r>
      <w:r w:rsidRPr="00840DE3">
        <w:t xml:space="preserve"> messages are issued and there is no more processing.</w:t>
      </w:r>
      <w:r w:rsidR="00BD48AA" w:rsidRPr="00840DE3">
        <w:t xml:space="preserve"> </w:t>
      </w:r>
      <w:r w:rsidR="00ED61CD">
        <w:t xml:space="preserve"> </w:t>
      </w:r>
      <w:r w:rsidR="004976B3">
        <w:t xml:space="preserve">Multiple out of scope messages can be displayed, if multiple out of scope conditions are present.  For example, a patient may have active prescriptions of </w:t>
      </w:r>
      <w:r w:rsidR="00ED61CD">
        <w:t>3+ encoded drugs as well as an active prescription of</w:t>
      </w:r>
      <w:r w:rsidR="004976B3">
        <w:t xml:space="preserve"> non-encoded drugs; two out of scope messages are issued. </w:t>
      </w:r>
      <w:r w:rsidR="00BD48AA" w:rsidRPr="00840DE3">
        <w:t xml:space="preserve"> If none of the “out of scope” conditions are present, then the C</w:t>
      </w:r>
      <w:r w:rsidR="00ED61CD">
        <w:t>DS checks the other criteria (#4</w:t>
      </w:r>
      <w:r w:rsidR="00BD48AA" w:rsidRPr="00840DE3">
        <w:t>) i.e.,</w:t>
      </w:r>
      <w:r w:rsidR="00362CC5">
        <w:t xml:space="preserve"> </w:t>
      </w:r>
      <w:r w:rsidR="00BD48AA" w:rsidRPr="00840DE3">
        <w:t>whether or not pioglitazone and gemfibrozil are pre</w:t>
      </w:r>
      <w:r w:rsidR="00E41F77">
        <w:t xml:space="preserve">sent.  If pioglitazone and </w:t>
      </w:r>
      <w:r w:rsidR="00E41F77" w:rsidRPr="00840DE3">
        <w:t xml:space="preserve">gemfibrozil </w:t>
      </w:r>
      <w:r w:rsidR="00E41F77">
        <w:t>are not present (#3)</w:t>
      </w:r>
      <w:r w:rsidR="00BD48AA" w:rsidRPr="00840DE3">
        <w:t xml:space="preserve">,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p>
    <w:p w14:paraId="7446B635" w14:textId="403A76BD" w:rsidR="002E5BE6" w:rsidRPr="00840DE3" w:rsidRDefault="00ED61CD" w:rsidP="00801AD9">
      <w:r>
        <w:rPr>
          <w:noProof/>
        </w:rPr>
        <w:drawing>
          <wp:inline distT="0" distB="0" distL="0" distR="0" wp14:anchorId="77FB5628" wp14:editId="3BCCF0B0">
            <wp:extent cx="5935980" cy="6705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705600"/>
                    </a:xfrm>
                    <a:prstGeom prst="rect">
                      <a:avLst/>
                    </a:prstGeom>
                    <a:noFill/>
                    <a:ln>
                      <a:noFill/>
                    </a:ln>
                  </pic:spPr>
                </pic:pic>
              </a:graphicData>
            </a:graphic>
          </wp:inline>
        </w:drawing>
      </w:r>
    </w:p>
    <w:p w14:paraId="75A2917F" w14:textId="4E245B74" w:rsidR="00947C4D" w:rsidRPr="00840DE3" w:rsidRDefault="00947C4D" w:rsidP="00801AD9"/>
    <w:p w14:paraId="27CA4A0E" w14:textId="316EB482" w:rsidR="00D065D1" w:rsidRPr="00840DE3" w:rsidRDefault="000A6ADD" w:rsidP="000A6ADD">
      <w:pPr>
        <w:pStyle w:val="Heading2"/>
      </w:pPr>
      <w:bookmarkStart w:id="38" w:name="_Toc515553653"/>
      <w:r w:rsidRPr="00840DE3">
        <w:t>Note</w:t>
      </w:r>
      <w:r w:rsidR="00D065D1" w:rsidRPr="00840DE3">
        <w:t xml:space="preserve"> o</w:t>
      </w:r>
      <w:r w:rsidR="00A734D6" w:rsidRPr="00840DE3">
        <w:t>n</w:t>
      </w:r>
      <w:r w:rsidRPr="00840DE3">
        <w:t xml:space="preserve"> Drug Dosages</w:t>
      </w:r>
      <w:bookmarkEnd w:id="38"/>
    </w:p>
    <w:p w14:paraId="31A456D7" w14:textId="7CC2B1AD" w:rsidR="0017323A" w:rsidRPr="00840DE3" w:rsidRDefault="00C15335" w:rsidP="00801AD9">
      <w:r w:rsidRPr="00840DE3">
        <w:t>If</w:t>
      </w:r>
      <w:r w:rsidR="002930FE" w:rsidRPr="00840DE3">
        <w:t xml:space="preserve"> a patient has two different active prescriptions for the same drug, the dosages are summed and a recommendation is made using this summed dosage.</w:t>
      </w:r>
      <w:r w:rsidR="00A927BD" w:rsidRPr="00840DE3">
        <w:t xml:space="preserve"> </w:t>
      </w:r>
      <w:r w:rsidR="00F36E85" w:rsidRPr="00840DE3">
        <w:t xml:space="preserve">There </w:t>
      </w:r>
      <w:r w:rsidR="00256326" w:rsidRPr="00840DE3">
        <w:t xml:space="preserve">will be a </w:t>
      </w:r>
      <w:r w:rsidR="002930FE" w:rsidRPr="00840DE3">
        <w:t xml:space="preserve">message </w:t>
      </w:r>
      <w:r w:rsidR="00A734D6" w:rsidRPr="00840DE3">
        <w:t xml:space="preserve">that </w:t>
      </w:r>
      <w:r w:rsidR="00256326" w:rsidRPr="00840DE3">
        <w:t xml:space="preserve">there are </w:t>
      </w:r>
      <w:r w:rsidR="002930FE" w:rsidRPr="00840DE3">
        <w:t xml:space="preserve">two active </w:t>
      </w:r>
      <w:r w:rsidR="00A1118A" w:rsidRPr="00840DE3">
        <w:t xml:space="preserve">prescriptions for the same drug (name of drug) and </w:t>
      </w:r>
      <w:r w:rsidR="000A6ADD" w:rsidRPr="00840DE3">
        <w:t xml:space="preserve">that </w:t>
      </w:r>
      <w:r w:rsidR="00A1118A" w:rsidRPr="00840DE3">
        <w:t>we have summed the doses.</w:t>
      </w:r>
    </w:p>
    <w:p w14:paraId="2445246B" w14:textId="0C4AEE4A" w:rsidR="007B1B1B" w:rsidRPr="00840DE3" w:rsidRDefault="007B1B1B" w:rsidP="00BF22F2">
      <w:pPr>
        <w:pStyle w:val="ListParagraph"/>
        <w:numPr>
          <w:ilvl w:val="0"/>
          <w:numId w:val="14"/>
        </w:numPr>
      </w:pPr>
      <w:r w:rsidRPr="00840DE3">
        <w:t>“Patient has 2 active prescriptions for the drug $drug_dup.</w:t>
      </w:r>
      <w:r w:rsidR="00A927BD" w:rsidRPr="00840DE3">
        <w:t xml:space="preserve"> </w:t>
      </w:r>
      <w:r w:rsidRPr="00840DE3">
        <w:t>The doses have been summed.</w:t>
      </w:r>
      <w:r w:rsidR="007625CF" w:rsidRPr="00840DE3">
        <w:t>”</w:t>
      </w:r>
      <w:r w:rsidR="00A927BD" w:rsidRPr="00840DE3">
        <w:t xml:space="preserve"> </w:t>
      </w:r>
      <w:r w:rsidRPr="00840DE3">
        <w:t>$drug_dup is a variable containing the name of the drug.</w:t>
      </w:r>
    </w:p>
    <w:p w14:paraId="2259190D" w14:textId="6E91C535" w:rsidR="00B31B95" w:rsidRPr="00840DE3" w:rsidRDefault="002930FE" w:rsidP="00801AD9">
      <w:r w:rsidRPr="00840DE3">
        <w:t xml:space="preserve">If the dose </w:t>
      </w:r>
      <w:r w:rsidR="00BE6EC3" w:rsidRPr="00840DE3">
        <w:t>of an active presc</w:t>
      </w:r>
      <w:r w:rsidR="00B73F6E" w:rsidRPr="00840DE3">
        <w:t>r</w:t>
      </w:r>
      <w:r w:rsidR="00BE6EC3" w:rsidRPr="00840DE3">
        <w:t>iption</w:t>
      </w:r>
      <w:r w:rsidRPr="00840DE3">
        <w:t xml:space="preserve"> is above</w:t>
      </w:r>
      <w:r w:rsidR="003E4115" w:rsidRPr="00840DE3">
        <w:t xml:space="preserve"> its maximum dose, the CDS will display a</w:t>
      </w:r>
      <w:r w:rsidRPr="00840DE3">
        <w:t xml:space="preserve"> message</w:t>
      </w:r>
      <w:r w:rsidR="008A3CBA" w:rsidRPr="00840DE3">
        <w:t xml:space="preserve"> indicating</w:t>
      </w:r>
      <w:r w:rsidRPr="00840DE3">
        <w:t xml:space="preserve"> that</w:t>
      </w:r>
      <w:r w:rsidR="0079335E" w:rsidRPr="00840DE3">
        <w:t xml:space="preserve"> the prescription is above maximum dose</w:t>
      </w:r>
      <w:r w:rsidRPr="00840DE3">
        <w:t>, but recommendations will be given as if the drug is at its maximum dose.</w:t>
      </w:r>
      <w:r w:rsidR="00A927BD" w:rsidRPr="00840DE3">
        <w:t xml:space="preserve"> </w:t>
      </w:r>
      <w:r w:rsidR="00635A3E" w:rsidRPr="00840DE3">
        <w:t>Values of maximum doses are given in</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_Ref491897722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H:</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_Ref491897722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Medication Cutoff Doses</w:t>
      </w:r>
      <w:r w:rsidR="004E196E" w:rsidRPr="00840DE3">
        <w:rPr>
          <w:rStyle w:val="IntenseEmphasis"/>
        </w:rPr>
        <w:fldChar w:fldCharType="end"/>
      </w:r>
      <w:r w:rsidR="00635A3E" w:rsidRPr="00840DE3">
        <w:t>.</w:t>
      </w:r>
    </w:p>
    <w:p w14:paraId="4F22D593" w14:textId="21E054CD" w:rsidR="00B31B95" w:rsidRPr="00840DE3" w:rsidRDefault="00B31B95" w:rsidP="00A82931">
      <w:pPr>
        <w:pStyle w:val="Heading2"/>
      </w:pPr>
      <w:bookmarkStart w:id="39" w:name="_Toc515553654"/>
      <w:r w:rsidRPr="00840DE3">
        <w:t>Scenarios Background</w:t>
      </w:r>
      <w:bookmarkEnd w:id="39"/>
    </w:p>
    <w:p w14:paraId="672CC86E" w14:textId="28B5D874" w:rsidR="00B31B95" w:rsidRPr="00840DE3" w:rsidRDefault="00B31B95" w:rsidP="00D532BB">
      <w:r w:rsidRPr="00840DE3">
        <w:t xml:space="preserve">Therapeutic </w:t>
      </w:r>
      <w:r w:rsidR="00805086" w:rsidRPr="00840DE3">
        <w:t xml:space="preserve">options </w:t>
      </w:r>
      <w:r w:rsidRPr="00840DE3">
        <w:t>are provided if the HbA1c lab value or glycosylated hemoglobin is</w:t>
      </w:r>
      <w:r w:rsidR="00D532BB" w:rsidRPr="00840DE3">
        <w:t xml:space="preserve"> recorded</w:t>
      </w:r>
      <w:r w:rsidRPr="00840DE3">
        <w:t xml:space="preserve"> within the past year and the patient is not at goal</w:t>
      </w:r>
      <w:r w:rsidR="00966325" w:rsidRPr="00840DE3">
        <w:t xml:space="preserve"> (</w:t>
      </w:r>
      <w:r w:rsidR="00684BF9" w:rsidRPr="00840DE3">
        <w:t xml:space="preserve">goal is </w:t>
      </w:r>
      <w:r w:rsidR="00966325" w:rsidRPr="00840DE3">
        <w:t>HbA1c</w:t>
      </w:r>
      <w:r w:rsidR="00FA302A" w:rsidRPr="00840DE3">
        <w:t xml:space="preserve"> </w:t>
      </w:r>
      <w:r w:rsidR="00966325" w:rsidRPr="00840DE3">
        <w:t>&lt;=</w:t>
      </w:r>
      <w:r w:rsidR="00FA302A" w:rsidRPr="00840DE3">
        <w:t xml:space="preserve"> </w:t>
      </w:r>
      <w:r w:rsidR="00966325" w:rsidRPr="00840DE3">
        <w:t xml:space="preserve">9 or </w:t>
      </w:r>
      <w:r w:rsidR="00186E24" w:rsidRPr="00840DE3">
        <w:t>g</w:t>
      </w:r>
      <w:r w:rsidR="00966325" w:rsidRPr="00840DE3">
        <w:t xml:space="preserve">lycosylated </w:t>
      </w:r>
      <w:r w:rsidR="00186E24" w:rsidRPr="00840DE3">
        <w:t>h</w:t>
      </w:r>
      <w:r w:rsidR="00966325" w:rsidRPr="00840DE3">
        <w:t>emoglobin</w:t>
      </w:r>
      <w:r w:rsidR="00FA302A" w:rsidRPr="00840DE3">
        <w:t xml:space="preserve"> </w:t>
      </w:r>
      <w:r w:rsidR="00966325" w:rsidRPr="00840DE3">
        <w:t>&lt;=</w:t>
      </w:r>
      <w:r w:rsidR="00FA302A" w:rsidRPr="00840DE3">
        <w:t xml:space="preserve"> </w:t>
      </w:r>
      <w:r w:rsidR="00966325" w:rsidRPr="00840DE3">
        <w:t>11, as defined by the VA Performance Measures).</w:t>
      </w:r>
      <w:r w:rsidR="00A927BD" w:rsidRPr="00840DE3">
        <w:t xml:space="preserve"> </w:t>
      </w:r>
      <w:r w:rsidRPr="00840DE3">
        <w:t>Patients are separated into “scenarios” based upon the</w:t>
      </w:r>
      <w:r w:rsidR="00966325" w:rsidRPr="00840DE3">
        <w:t>ir</w:t>
      </w:r>
      <w:r w:rsidRPr="00840DE3">
        <w:t xml:space="preserve"> number of </w:t>
      </w:r>
      <w:r w:rsidR="00966325" w:rsidRPr="00840DE3">
        <w:t xml:space="preserve">active prescriptions of </w:t>
      </w:r>
      <w:r w:rsidRPr="00840DE3">
        <w:t>glycemic control medications</w:t>
      </w:r>
      <w:r w:rsidR="00966325" w:rsidRPr="00840DE3">
        <w:t>.</w:t>
      </w:r>
      <w:r w:rsidR="00CF6F31" w:rsidRPr="00840DE3">
        <w:t xml:space="preserve"> There are 4</w:t>
      </w:r>
      <w:r w:rsidRPr="00840DE3">
        <w:t xml:space="preserve"> possible scenarios:</w:t>
      </w:r>
    </w:p>
    <w:p w14:paraId="3C1202F8" w14:textId="24ED965D" w:rsidR="00B31B95" w:rsidRPr="00840DE3" w:rsidRDefault="007A754C" w:rsidP="00BF22F2">
      <w:pPr>
        <w:pStyle w:val="ListParagraph"/>
        <w:numPr>
          <w:ilvl w:val="0"/>
          <w:numId w:val="14"/>
        </w:numPr>
      </w:pPr>
      <w:r w:rsidRPr="00840DE3">
        <w:t>P</w:t>
      </w:r>
      <w:r w:rsidR="00966325" w:rsidRPr="00840DE3">
        <w:t>atient is not p</w:t>
      </w:r>
      <w:r w:rsidRPr="00840DE3">
        <w:t xml:space="preserve">rescribed </w:t>
      </w:r>
      <w:r w:rsidR="00966325" w:rsidRPr="00840DE3">
        <w:t>any</w:t>
      </w:r>
      <w:r w:rsidRPr="00840DE3">
        <w:t xml:space="preserve"> </w:t>
      </w:r>
      <w:r w:rsidR="00CF6F31" w:rsidRPr="00840DE3">
        <w:t>encoded</w:t>
      </w:r>
      <w:r w:rsidR="00B31B95" w:rsidRPr="00840DE3">
        <w:t xml:space="preserve"> drug</w:t>
      </w:r>
      <w:r w:rsidRPr="00840DE3">
        <w:t xml:space="preserve"> for DM</w:t>
      </w:r>
    </w:p>
    <w:p w14:paraId="1A08CA39" w14:textId="4B5EF3A6" w:rsidR="00B31B95" w:rsidRPr="00840DE3" w:rsidRDefault="00CA5A4E" w:rsidP="00BF22F2">
      <w:pPr>
        <w:pStyle w:val="ListParagraph"/>
        <w:numPr>
          <w:ilvl w:val="0"/>
          <w:numId w:val="14"/>
        </w:numPr>
      </w:pPr>
      <w:r w:rsidRPr="00840DE3">
        <w:t xml:space="preserve">Patient has active prescription of </w:t>
      </w:r>
      <w:r w:rsidR="00CF6F31" w:rsidRPr="00840DE3">
        <w:t>encoded</w:t>
      </w:r>
      <w:r w:rsidR="00B73F6E" w:rsidRPr="00840DE3">
        <w:t xml:space="preserve"> </w:t>
      </w:r>
      <w:r w:rsidR="00B31B95" w:rsidRPr="00840DE3">
        <w:t>oral drug</w:t>
      </w:r>
    </w:p>
    <w:p w14:paraId="5E42B649" w14:textId="144CAA75" w:rsidR="00B31B95" w:rsidRPr="00840DE3" w:rsidRDefault="00CA5A4E" w:rsidP="00BF22F2">
      <w:pPr>
        <w:pStyle w:val="ListParagraph"/>
        <w:numPr>
          <w:ilvl w:val="0"/>
          <w:numId w:val="14"/>
        </w:numPr>
      </w:pPr>
      <w:r w:rsidRPr="00840DE3">
        <w:t>Patient has active prescription</w:t>
      </w:r>
      <w:r w:rsidR="00CF6F31" w:rsidRPr="00840DE3">
        <w:t>s</w:t>
      </w:r>
      <w:r w:rsidRPr="00840DE3">
        <w:t xml:space="preserve"> of </w:t>
      </w:r>
      <w:r w:rsidR="00684BF9" w:rsidRPr="00840DE3">
        <w:t>t</w:t>
      </w:r>
      <w:r w:rsidR="00B73F6E" w:rsidRPr="00840DE3">
        <w:t>wo</w:t>
      </w:r>
      <w:r w:rsidR="00B31B95" w:rsidRPr="00840DE3">
        <w:t xml:space="preserve"> </w:t>
      </w:r>
      <w:r w:rsidR="00CF6F31" w:rsidRPr="00840DE3">
        <w:t>encoded</w:t>
      </w:r>
      <w:r w:rsidR="00B31B95" w:rsidRPr="00840DE3">
        <w:t xml:space="preserve"> drugs</w:t>
      </w:r>
    </w:p>
    <w:p w14:paraId="3EE9F959" w14:textId="4C0BC4C2" w:rsidR="00CC338B" w:rsidRPr="00840DE3" w:rsidRDefault="00CC338B" w:rsidP="00D532BB">
      <w:r w:rsidRPr="00840DE3">
        <w:t xml:space="preserve">Indications, contraindications, and blocked conditions that are used to determine </w:t>
      </w:r>
      <w:r w:rsidR="00805086" w:rsidRPr="00840DE3">
        <w:t>therapeutic options</w:t>
      </w:r>
      <w:r w:rsidRPr="00840DE3">
        <w:t xml:space="preserve">,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00566AAF"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00566AAF"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40" w:name="_Toc515553655"/>
      <w:r w:rsidRPr="00840DE3">
        <w:t>Scenario</w:t>
      </w:r>
      <w:r w:rsidR="00A44EF1" w:rsidRPr="00840DE3">
        <w:t xml:space="preserve">: </w:t>
      </w:r>
      <w:r w:rsidRPr="00840DE3">
        <w:t>No oral drugs</w:t>
      </w:r>
      <w:bookmarkEnd w:id="40"/>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r w:rsidR="001B2DC1" w:rsidRPr="00840DE3">
        <w:t>g</w:t>
      </w:r>
      <w:r w:rsidRPr="00840DE3">
        <w:t xml:space="preserve">lipzide, </w:t>
      </w:r>
      <w:r w:rsidR="001B2DC1" w:rsidRPr="00840DE3">
        <w:t>p</w:t>
      </w:r>
      <w:r w:rsidRPr="00840DE3">
        <w:t xml:space="preserve">ioglitazone, </w:t>
      </w:r>
      <w:r w:rsidR="001B2DC1" w:rsidRPr="00840DE3">
        <w:t>s</w:t>
      </w:r>
      <w:r w:rsidRPr="00840DE3">
        <w:t>axagliptin,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41" w:name="_Ref491899111"/>
      <w:bookmarkStart w:id="42" w:name="_Ref491899115"/>
      <w:bookmarkStart w:id="43" w:name="_Toc515553656"/>
      <w:r w:rsidRPr="00840DE3">
        <w:t>S</w:t>
      </w:r>
      <w:r w:rsidR="00B31B95" w:rsidRPr="00840DE3">
        <w:t>cenario</w:t>
      </w:r>
      <w:r w:rsidR="009B062C" w:rsidRPr="00840DE3">
        <w:t xml:space="preserve">: </w:t>
      </w:r>
      <w:r w:rsidR="00B31B95" w:rsidRPr="00840DE3">
        <w:t>One oral drug</w:t>
      </w:r>
      <w:bookmarkEnd w:id="41"/>
      <w:bookmarkEnd w:id="42"/>
      <w:bookmarkEnd w:id="43"/>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etc).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6247D30"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Pr="00840DE3">
        <w:t xml:space="preserve">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840DE3" w:rsidRDefault="008D3DC8" w:rsidP="00BF22F2">
      <w:pPr>
        <w:pStyle w:val="ListParagraph"/>
        <w:numPr>
          <w:ilvl w:val="0"/>
          <w:numId w:val="16"/>
        </w:numPr>
      </w:pPr>
      <w:r w:rsidRPr="00840DE3">
        <w:t>If metformin has an absolute contraindication</w:t>
      </w:r>
      <w:r w:rsidR="00C15335" w:rsidRPr="00840DE3">
        <w:t>:</w:t>
      </w:r>
    </w:p>
    <w:p w14:paraId="22D8F61A" w14:textId="796E19B5" w:rsidR="00B31B95" w:rsidRPr="00840DE3" w:rsidRDefault="00531F9E" w:rsidP="00BF22F2">
      <w:pPr>
        <w:pStyle w:val="ListParagraph"/>
        <w:numPr>
          <w:ilvl w:val="1"/>
          <w:numId w:val="16"/>
        </w:numPr>
      </w:pPr>
      <w:r w:rsidRPr="00840DE3">
        <w:t>Then</w:t>
      </w:r>
      <w:r w:rsidR="00B31B95" w:rsidRPr="00840DE3">
        <w:t xml:space="preserve"> substitute with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_Ref491899718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E</w:t>
      </w:r>
      <w:r w:rsidR="00BD2D27" w:rsidRPr="00840DE3">
        <w:rPr>
          <w:rStyle w:val="IntenseEmphasis"/>
        </w:rPr>
        <w:fldChar w:fldCharType="end"/>
      </w:r>
      <w:r w:rsidR="00475A3C" w:rsidRPr="00840DE3">
        <w:t>)</w:t>
      </w:r>
    </w:p>
    <w:p w14:paraId="7C84B8F8" w14:textId="67928B94" w:rsidR="00B31B95" w:rsidRPr="00840DE3" w:rsidRDefault="00B31B95" w:rsidP="001A62E9">
      <w:pPr>
        <w:pStyle w:val="Heading3"/>
      </w:pPr>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bookmarkStart w:id="44" w:name="_Hlk518385919"/>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27F54EA3" w:rsidR="003B0820" w:rsidRPr="00840DE3" w:rsidRDefault="007F3C20" w:rsidP="00BF22F2">
      <w:pPr>
        <w:pStyle w:val="ListParagraph"/>
        <w:numPr>
          <w:ilvl w:val="1"/>
          <w:numId w:val="17"/>
        </w:numPr>
      </w:pPr>
      <w:r w:rsidRPr="00840DE3">
        <w:t>The</w:t>
      </w:r>
      <w:r w:rsidR="00042AE7">
        <w:t xml:space="preserve">n recommend adding metformin </w:t>
      </w:r>
      <w:r w:rsidR="00042AE7" w:rsidRPr="00CD1155">
        <w:rPr>
          <w:highlight w:val="yellow"/>
        </w:rPr>
        <w:t>and</w:t>
      </w:r>
      <w:r w:rsidR="00BE5F5F" w:rsidRPr="00840DE3">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2805D778" w:rsidR="003B0820" w:rsidRPr="00840DE3" w:rsidRDefault="00DD4C52" w:rsidP="00BF22F2">
      <w:pPr>
        <w:pStyle w:val="ListParagraph"/>
        <w:numPr>
          <w:ilvl w:val="1"/>
          <w:numId w:val="17"/>
        </w:numPr>
      </w:pPr>
      <w:r w:rsidRPr="00840DE3">
        <w:t>Then recommend adding metformi</w:t>
      </w:r>
      <w:r w:rsidR="00A927BD" w:rsidRPr="00840DE3">
        <w:t xml:space="preserve">n </w:t>
      </w:r>
      <w:r w:rsidR="00042AE7" w:rsidRPr="00CD1155">
        <w:rPr>
          <w:highlight w:val="yellow"/>
        </w:rPr>
        <w:t>and</w:t>
      </w:r>
      <w:r w:rsidR="00576E4E" w:rsidRPr="00840DE3">
        <w:t xml:space="preserve"> </w:t>
      </w:r>
      <w:r w:rsidR="00BE5F5F" w:rsidRPr="00840DE3">
        <w:t>other second line drugs</w:t>
      </w:r>
    </w:p>
    <w:p w14:paraId="755687AF" w14:textId="71A2C51C" w:rsidR="003B0820" w:rsidRPr="00840DE3" w:rsidRDefault="008D3DC8" w:rsidP="00BF22F2">
      <w:pPr>
        <w:pStyle w:val="ListParagraph"/>
        <w:numPr>
          <w:ilvl w:val="0"/>
          <w:numId w:val="17"/>
        </w:numPr>
      </w:pPr>
      <w:r w:rsidRPr="00840DE3">
        <w:t>If the drug has an absolute contraindication</w:t>
      </w:r>
      <w:r w:rsidR="00C15335" w:rsidRPr="00840DE3">
        <w:t>:</w:t>
      </w:r>
    </w:p>
    <w:p w14:paraId="19248DB8" w14:textId="17963C87" w:rsidR="00B31B95" w:rsidRPr="00840DE3" w:rsidRDefault="00BE5F5F" w:rsidP="00BF22F2">
      <w:pPr>
        <w:pStyle w:val="ListParagraph"/>
        <w:numPr>
          <w:ilvl w:val="1"/>
          <w:numId w:val="17"/>
        </w:numPr>
      </w:pPr>
      <w:r w:rsidRPr="00840DE3">
        <w:t>T</w:t>
      </w:r>
      <w:r w:rsidR="00B31B95" w:rsidRPr="00840DE3">
        <w:t xml:space="preserve">hen substitute with </w:t>
      </w:r>
      <w:r w:rsidR="00A3680F" w:rsidRPr="00840DE3">
        <w:t xml:space="preserve">metformin </w:t>
      </w:r>
      <w:r w:rsidR="00CD1155" w:rsidRPr="00CD1155">
        <w:rPr>
          <w:highlight w:val="yellow"/>
        </w:rPr>
        <w:t>and</w:t>
      </w:r>
      <w:r w:rsidRPr="00840DE3">
        <w:t xml:space="preserve"> other </w:t>
      </w:r>
      <w:r w:rsidR="00B31B95" w:rsidRPr="00840DE3">
        <w:t>second line therapy</w:t>
      </w:r>
    </w:p>
    <w:bookmarkEnd w:id="44"/>
    <w:p w14:paraId="6C258EB5" w14:textId="13D957C6" w:rsidR="00B31B95" w:rsidRPr="00840DE3" w:rsidRDefault="00ED7E84" w:rsidP="003B0820">
      <w:r w:rsidRPr="00840DE3">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r w:rsidRPr="00840DE3">
        <w:t>Actions in the presence of bad drug partner</w:t>
      </w:r>
      <w:r w:rsidR="00294614" w:rsidRPr="00840DE3">
        <w:t>, one DM med</w:t>
      </w:r>
    </w:p>
    <w:p w14:paraId="437C00B2" w14:textId="580EBDDC"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w:t>
      </w:r>
      <w:r w:rsidR="00937559">
        <w:rPr>
          <w:szCs w:val="24"/>
        </w:rPr>
        <w:t>message s</w:t>
      </w:r>
      <w:r w:rsidRPr="00840DE3">
        <w:rPr>
          <w:szCs w:val="24"/>
        </w:rPr>
        <w:t>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45" w:name="_Ref491900690"/>
      <w:bookmarkStart w:id="46" w:name="_Ref491900694"/>
      <w:bookmarkStart w:id="47" w:name="_Toc515553657"/>
      <w:r w:rsidRPr="00840DE3">
        <w:t>Scenario</w:t>
      </w:r>
      <w:r w:rsidR="00910307" w:rsidRPr="00840DE3">
        <w:t xml:space="preserve">: </w:t>
      </w:r>
      <w:r w:rsidRPr="00840DE3">
        <w:t>Two oral drugs</w:t>
      </w:r>
      <w:bookmarkEnd w:id="45"/>
      <w:bookmarkEnd w:id="46"/>
      <w:bookmarkEnd w:id="47"/>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48" w:name="_Ref491900335"/>
      <w:r w:rsidRPr="00840DE3">
        <w:t xml:space="preserve">Table </w:t>
      </w:r>
      <w:r w:rsidR="002E5DE6">
        <w:fldChar w:fldCharType="begin"/>
      </w:r>
      <w:r w:rsidR="002E5DE6">
        <w:instrText xml:space="preserve"> SEQ Table \* ARABIC </w:instrText>
      </w:r>
      <w:r w:rsidR="002E5DE6">
        <w:fldChar w:fldCharType="separate"/>
      </w:r>
      <w:r w:rsidR="00566AAF" w:rsidRPr="00840DE3">
        <w:rPr>
          <w:noProof/>
        </w:rPr>
        <w:t>1</w:t>
      </w:r>
      <w:r w:rsidR="002E5DE6">
        <w:rPr>
          <w:noProof/>
        </w:rPr>
        <w:fldChar w:fldCharType="end"/>
      </w:r>
      <w:r w:rsidRPr="00840DE3">
        <w:t>: Two Drugs Matrix</w:t>
      </w:r>
      <w:bookmarkEnd w:id="48"/>
      <w:r w:rsidR="00C13489" w:rsidRPr="00840DE3">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A01F56" w:rsidRDefault="00A01F56"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A01F56" w:rsidRDefault="00A01F56"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r w:rsidRPr="00840DE3">
        <w:t>Possible Actions</w:t>
      </w:r>
    </w:p>
    <w:p w14:paraId="1E989082" w14:textId="0D24A31D"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 </w:t>
      </w:r>
      <w:r w:rsidR="00E73D5F" w:rsidRPr="00840DE3">
        <w:t xml:space="preserve">the </w:t>
      </w:r>
      <w:r w:rsidR="00C13489" w:rsidRPr="00840DE3">
        <w:t xml:space="preserve">other </w:t>
      </w:r>
      <w:r w:rsidR="00E73D5F" w:rsidRPr="00840DE3">
        <w:t xml:space="preserve">encoded </w:t>
      </w:r>
      <w:r w:rsidR="00C13489" w:rsidRPr="00840DE3">
        <w:t xml:space="preserve">drugs </w:t>
      </w:r>
      <w:r w:rsidR="00C62A39" w:rsidRPr="00840DE3">
        <w:t xml:space="preserve">listed </w:t>
      </w:r>
      <w:r w:rsidR="00E73D5F" w:rsidRPr="00840DE3">
        <w:t>in Section 3.4.</w:t>
      </w:r>
      <w:r w:rsidR="00F20D45" w:rsidRPr="00840DE3">
        <w:t xml:space="preserve"> (Case 1)</w:t>
      </w:r>
    </w:p>
    <w:p w14:paraId="4D849E89" w14:textId="753B5EA4" w:rsidR="00B31B95" w:rsidRPr="00840DE3"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6D69E913" w14:textId="45B2B184" w:rsidR="001469F8" w:rsidRPr="00840DE3" w:rsidRDefault="00B31B95" w:rsidP="00BF22F2">
      <w:pPr>
        <w:pStyle w:val="ListParagraph"/>
        <w:numPr>
          <w:ilvl w:val="0"/>
          <w:numId w:val="6"/>
        </w:numPr>
      </w:pPr>
      <w:r w:rsidRPr="00840DE3">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for the drug whose dose cannot 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05BBFC31"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49" w:name="_Hlk510532432"/>
      <w:r w:rsidRPr="00840DE3">
        <w:t>Actions in the presence of bad drug partner</w:t>
      </w:r>
    </w:p>
    <w:p w14:paraId="6A710253" w14:textId="7AC1E182" w:rsidR="0090423A" w:rsidRPr="00840DE3" w:rsidRDefault="00ED7A52" w:rsidP="00CA0881">
      <w:r w:rsidRPr="00840DE3">
        <w:t>Note:  the first two actions below are the same as those two described in the one drug scenario):</w:t>
      </w:r>
    </w:p>
    <w:p w14:paraId="3188FFF2" w14:textId="3978715F" w:rsidR="00294614" w:rsidRPr="00840DE3" w:rsidRDefault="00294614" w:rsidP="00294614">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w:t>
      </w:r>
      <w:r w:rsidR="00937559">
        <w:rPr>
          <w:szCs w:val="24"/>
        </w:rPr>
        <w:t xml:space="preserve">message </w:t>
      </w:r>
      <w:r w:rsidRPr="00840DE3">
        <w:rPr>
          <w:szCs w:val="24"/>
        </w:rPr>
        <w:t>stating that the patient has active prescriptions for two drugs that are 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5A931C49" w:rsidR="0039707B" w:rsidRPr="00937559" w:rsidRDefault="0039707B" w:rsidP="0039707B">
      <w:pPr>
        <w:pStyle w:val="ListParagraph"/>
        <w:numPr>
          <w:ilvl w:val="1"/>
          <w:numId w:val="6"/>
        </w:numPr>
      </w:pPr>
      <w:bookmarkStart w:id="50" w:name="_Hlk511040886"/>
      <w:bookmarkEnd w:id="49"/>
      <w:r w:rsidRPr="00840DE3">
        <w:rPr>
          <w:szCs w:val="24"/>
        </w:rPr>
        <w:t>If the bad drug partners are from the same DM medication class and are contraindicated, we will recommend substituting both drugs</w:t>
      </w:r>
    </w:p>
    <w:bookmarkEnd w:id="50"/>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51" w:name="_Ref511734083"/>
      <w:bookmarkStart w:id="52" w:name="_Toc515553658"/>
      <w:r w:rsidRPr="00840DE3">
        <w:t>Additional Messages</w:t>
      </w:r>
      <w:bookmarkEnd w:id="51"/>
      <w:bookmarkEnd w:id="52"/>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?Not_Encoded_DM_drug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?Not_Encoded_DM_drug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?Encoded_DM_drug.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153761F7" w:rsidR="00F0147A" w:rsidRPr="00840DE3" w:rsidRDefault="00F0147A" w:rsidP="00F0147A">
      <w:pPr>
        <w:pStyle w:val="ListParagraph"/>
        <w:ind w:left="720"/>
      </w:pPr>
      <w:r w:rsidRPr="00840DE3">
        <w:t xml:space="preserve">“Pt has Dx of both type 1 and type 2 DM. If pt </w:t>
      </w:r>
      <w:r w:rsidR="001055FB">
        <w:t xml:space="preserve">truly </w:t>
      </w:r>
      <w:r w:rsidRPr="00840DE3">
        <w:t>has type 1 DM, these recommendations</w:t>
      </w:r>
      <w:r w:rsidR="00CB7E14">
        <w:t xml:space="preserve"> DO NOT APPLY</w:t>
      </w:r>
      <w:r w:rsidRPr="00840DE3">
        <w:t>.”</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76A872E8" w14:textId="71219FD6" w:rsidR="00896237" w:rsidRPr="00840DE3" w:rsidRDefault="005B492B" w:rsidP="00497290">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896237" w:rsidRPr="00840DE3">
        <w:t xml:space="preserve"> is below 90%:</w:t>
      </w:r>
    </w:p>
    <w:p w14:paraId="1A552F87" w14:textId="77777777" w:rsidR="001A6709" w:rsidRPr="00840DE3" w:rsidRDefault="00497290" w:rsidP="001A6709">
      <w:pPr>
        <w:ind w:left="720"/>
      </w:pPr>
      <w:r w:rsidRPr="00840DE3">
        <w:t>?drugName (MPR= ?mpr %). Discuss with pt.</w:t>
      </w:r>
    </w:p>
    <w:p w14:paraId="6A13F7E8" w14:textId="510D1706" w:rsidR="00DE6F0D" w:rsidRPr="00840DE3" w:rsidRDefault="00CB6406" w:rsidP="001A6709">
      <w:pPr>
        <w:ind w:left="720"/>
      </w:pPr>
      <w:r w:rsidRPr="00840DE3">
        <w:t xml:space="preserve">Where ?drugName is </w:t>
      </w:r>
      <w:r w:rsidR="00E54A06" w:rsidRPr="00840DE3">
        <w:t>a variable containing the</w:t>
      </w:r>
      <w:r w:rsidRPr="00840DE3">
        <w:t xml:space="preserve"> drug </w:t>
      </w:r>
      <w:r w:rsidR="00E54A06" w:rsidRPr="00840DE3">
        <w:t xml:space="preserve">name </w:t>
      </w:r>
      <w:r w:rsidRPr="00840DE3">
        <w:t xml:space="preserve">and ?mpr is the actual MPR value.  </w:t>
      </w:r>
      <w:r w:rsidR="00BA1CFA"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00BA1CFA"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colesevelam </w:t>
      </w:r>
    </w:p>
    <w:p w14:paraId="524F7B0C" w14:textId="3D131915" w:rsidR="00E54A06" w:rsidRPr="00840DE3" w:rsidRDefault="000B05F4" w:rsidP="001A6709">
      <w:pPr>
        <w:pStyle w:val="ListParagraph"/>
        <w:spacing w:before="0" w:after="120"/>
        <w:ind w:left="720"/>
      </w:pPr>
      <w:r w:rsidRPr="00840DE3">
        <w:t>“</w:t>
      </w:r>
      <w:r w:rsidR="00497290" w:rsidRPr="00840DE3">
        <w:t>Warning: bromocriptine and colesevelam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“There are multiple Rxs for ?dup_GL_drug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?dup_GL_drug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?drugName dose (?dailyDose) greater than max dose.”</w:t>
      </w:r>
    </w:p>
    <w:p w14:paraId="7DD98B7D" w14:textId="565BE567" w:rsidR="000B05F4" w:rsidRPr="00840DE3" w:rsidRDefault="00477175" w:rsidP="001A6709">
      <w:pPr>
        <w:ind w:left="720"/>
      </w:pPr>
      <w:r w:rsidRPr="00840DE3">
        <w:t xml:space="preserve">where $drug_name is a variable containing the name of the drug and ?dailyDose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“Cannot recommend metformin, glipizide, pioglitazone, saxagliptin or, if CVD present, empaglifozin.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“If pt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“Strongly recommend shared decision making process, where pt,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53" w:name="_Ref491886639"/>
      <w:bookmarkStart w:id="54" w:name="_Ref491886644"/>
      <w:bookmarkStart w:id="55" w:name="_Ref491886748"/>
      <w:bookmarkStart w:id="56" w:name="_Toc515553659"/>
      <w:r w:rsidRPr="00840DE3">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53"/>
      <w:bookmarkEnd w:id="54"/>
      <w:bookmarkEnd w:id="55"/>
      <w:bookmarkEnd w:id="56"/>
    </w:p>
    <w:p w14:paraId="0279E45C" w14:textId="2453FCE0" w:rsidR="00CD13CD" w:rsidRPr="00840DE3" w:rsidRDefault="00CD13CD" w:rsidP="00200FA9">
      <w:pPr>
        <w:pStyle w:val="Heading2"/>
        <w:numPr>
          <w:ilvl w:val="0"/>
          <w:numId w:val="0"/>
        </w:numPr>
        <w:ind w:left="360"/>
      </w:pPr>
      <w:bookmarkStart w:id="57" w:name="_Toc515553660"/>
      <w:r w:rsidRPr="00840DE3">
        <w:t>ICD</w:t>
      </w:r>
      <w:r w:rsidR="00200FA9" w:rsidRPr="00840DE3">
        <w:t>-</w:t>
      </w:r>
      <w:r w:rsidRPr="00840DE3">
        <w:t>9</w:t>
      </w:r>
      <w:bookmarkEnd w:id="57"/>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KBName</w:t>
            </w:r>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58" w:name="_Toc515553661"/>
      <w:r w:rsidRPr="00840DE3">
        <w:t>ICD</w:t>
      </w:r>
      <w:r w:rsidR="00200FA9" w:rsidRPr="00840DE3">
        <w:t>-</w:t>
      </w:r>
      <w:r w:rsidRPr="00840DE3">
        <w:t>10</w:t>
      </w:r>
      <w:bookmarkEnd w:id="58"/>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59" w:name="_Ref491886805"/>
      <w:bookmarkStart w:id="60" w:name="_Ref491886809"/>
      <w:bookmarkStart w:id="61" w:name="_Toc515553662"/>
      <w:r w:rsidRPr="00840DE3">
        <w:t>Glycemic Control Medications</w:t>
      </w:r>
      <w:bookmarkEnd w:id="59"/>
      <w:bookmarkEnd w:id="60"/>
      <w:bookmarkEnd w:id="61"/>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r w:rsidRPr="00840DE3">
        <w:t>alogliptin</w:t>
      </w:r>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r w:rsidRPr="00840DE3">
        <w:t>glibenclamide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r w:rsidRPr="00840DE3">
        <w:t>glipizide_xl</w:t>
      </w:r>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t>liraglutide</w:t>
      </w:r>
    </w:p>
    <w:p w14:paraId="1293DE12" w14:textId="77777777" w:rsidR="00F95D28" w:rsidRPr="00840DE3" w:rsidRDefault="00F95D28" w:rsidP="00E96886">
      <w:r w:rsidRPr="00840DE3">
        <w:t>lixisenatide</w:t>
      </w:r>
    </w:p>
    <w:p w14:paraId="4DBB0858" w14:textId="77777777" w:rsidR="00F95D28" w:rsidRPr="00840DE3" w:rsidRDefault="00F95D28" w:rsidP="00E96886">
      <w:r w:rsidRPr="00840DE3">
        <w:t>metformin</w:t>
      </w:r>
    </w:p>
    <w:p w14:paraId="1B3BED77" w14:textId="77777777" w:rsidR="00F95D28" w:rsidRPr="00840DE3" w:rsidRDefault="00F95D28" w:rsidP="00E96886">
      <w:r w:rsidRPr="00840DE3">
        <w:t>metformin_er</w:t>
      </w:r>
    </w:p>
    <w:p w14:paraId="6511AB5F" w14:textId="77777777" w:rsidR="00F95D28" w:rsidRPr="00840DE3" w:rsidRDefault="00F95D28" w:rsidP="00E96886">
      <w:r w:rsidRPr="00840DE3">
        <w:t>miglitol</w:t>
      </w:r>
    </w:p>
    <w:p w14:paraId="71E83DBD" w14:textId="77777777" w:rsidR="00F95D28" w:rsidRPr="00840DE3" w:rsidRDefault="00F95D28" w:rsidP="00E96886">
      <w:r w:rsidRPr="00840DE3">
        <w:t>nateglinide</w:t>
      </w:r>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r w:rsidRPr="00840DE3">
        <w:t>saxagliptin</w:t>
      </w:r>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62" w:name="_Ref491888402"/>
      <w:bookmarkStart w:id="63"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64" w:name="_Toc494704348"/>
      <w:bookmarkStart w:id="65" w:name="_Toc494704392"/>
      <w:bookmarkStart w:id="66" w:name="_Ref491905172"/>
      <w:bookmarkStart w:id="67" w:name="_Ref491905175"/>
      <w:bookmarkStart w:id="68" w:name="_Toc515553663"/>
      <w:bookmarkEnd w:id="64"/>
      <w:bookmarkEnd w:id="65"/>
      <w:r w:rsidRPr="00840DE3">
        <w:t>List of Encoded D</w:t>
      </w:r>
      <w:r w:rsidR="00A01537" w:rsidRPr="00840DE3">
        <w:t>rugs</w:t>
      </w:r>
      <w:bookmarkEnd w:id="62"/>
      <w:bookmarkEnd w:id="63"/>
      <w:bookmarkEnd w:id="66"/>
      <w:bookmarkEnd w:id="67"/>
      <w:bookmarkEnd w:id="68"/>
    </w:p>
    <w:p w14:paraId="3BD92F81" w14:textId="34F77C64" w:rsidR="00F95D28" w:rsidRPr="00840DE3" w:rsidRDefault="00F95D28" w:rsidP="00E47D55">
      <w:r w:rsidRPr="00840DE3">
        <w:t>metformin (biguanide)</w:t>
      </w:r>
    </w:p>
    <w:p w14:paraId="1600362B" w14:textId="77777777" w:rsidR="00F95D28" w:rsidRPr="00840DE3" w:rsidRDefault="00F95D28" w:rsidP="00E96886">
      <w:r w:rsidRPr="00840DE3">
        <w:t>metformin_er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4D525400" w:rsidR="00E47D55" w:rsidRPr="00840DE3" w:rsidRDefault="00F95D28" w:rsidP="00E47D55">
      <w:r w:rsidRPr="00840DE3">
        <w:t>saxagliptin (</w:t>
      </w:r>
      <w:r w:rsidR="003D7AC8" w:rsidRPr="00840DE3">
        <w:t>DPP-4</w:t>
      </w:r>
      <w:r w:rsidRPr="00840DE3">
        <w:t xml:space="preserve"> inhibitor)</w:t>
      </w:r>
      <w:bookmarkStart w:id="69" w:name="_Ref491888459"/>
      <w:bookmarkStart w:id="70" w:name="_Ref491888461"/>
      <w:bookmarkStart w:id="71" w:name="_Ref491905209"/>
      <w:bookmarkStart w:id="72" w:name="_Ref491905211"/>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73" w:name="_Toc494704350"/>
      <w:bookmarkStart w:id="74" w:name="_Toc494704394"/>
      <w:bookmarkStart w:id="75" w:name="_Ref491906036"/>
      <w:bookmarkStart w:id="76" w:name="_Ref491906038"/>
      <w:bookmarkStart w:id="77" w:name="_Toc515553664"/>
      <w:bookmarkEnd w:id="73"/>
      <w:bookmarkEnd w:id="74"/>
      <w:r w:rsidRPr="00840DE3">
        <w:t xml:space="preserve">List of </w:t>
      </w:r>
      <w:r w:rsidR="0035130B" w:rsidRPr="00840DE3">
        <w:t>N</w:t>
      </w:r>
      <w:r w:rsidRPr="00840DE3">
        <w:t xml:space="preserve">on-encoded </w:t>
      </w:r>
      <w:r w:rsidR="0035130B" w:rsidRPr="00840DE3">
        <w:t>D</w:t>
      </w:r>
      <w:r w:rsidRPr="00840DE3">
        <w:t>rugs</w:t>
      </w:r>
      <w:bookmarkEnd w:id="69"/>
      <w:bookmarkEnd w:id="70"/>
      <w:bookmarkEnd w:id="71"/>
      <w:bookmarkEnd w:id="72"/>
      <w:bookmarkEnd w:id="75"/>
      <w:bookmarkEnd w:id="76"/>
      <w:bookmarkEnd w:id="77"/>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21DD02A" w14:textId="77777777" w:rsidR="00F95D28" w:rsidRPr="00840DE3" w:rsidRDefault="00F95D28" w:rsidP="00E96886">
      <w:r w:rsidRPr="00840DE3">
        <w:t>alogliptin</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r w:rsidRPr="00840DE3">
        <w:t>glibenclamide</w:t>
      </w:r>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r w:rsidRPr="00840DE3">
        <w:t>lixisenatide</w:t>
      </w:r>
    </w:p>
    <w:p w14:paraId="02B9F7F9" w14:textId="77777777" w:rsidR="00F95D28" w:rsidRPr="00840DE3" w:rsidRDefault="00F95D28" w:rsidP="00E96886">
      <w:r w:rsidRPr="00840DE3">
        <w:t>miglitol</w:t>
      </w:r>
    </w:p>
    <w:p w14:paraId="336AC933" w14:textId="77777777" w:rsidR="00F95D28" w:rsidRPr="00840DE3" w:rsidRDefault="00F95D28" w:rsidP="00E96886">
      <w:r w:rsidRPr="00840DE3">
        <w:t>nateglinide</w:t>
      </w:r>
    </w:p>
    <w:p w14:paraId="0CCD9614" w14:textId="13480330" w:rsidR="00C677AB" w:rsidRPr="00840DE3" w:rsidRDefault="00F95D28" w:rsidP="00C677AB">
      <w:r w:rsidRPr="00840DE3">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78" w:name="_Ref491896663"/>
      <w:bookmarkStart w:id="79" w:name="_Ref491896666"/>
      <w:bookmarkStart w:id="80" w:name="_Ref491898141"/>
      <w:bookmarkStart w:id="81" w:name="_Ref491898145"/>
      <w:bookmarkStart w:id="82" w:name="_Ref491904897"/>
      <w:bookmarkStart w:id="83" w:name="_Ref491904922"/>
      <w:bookmarkStart w:id="84" w:name="_Ref491904925"/>
      <w:bookmarkStart w:id="85" w:name="_Ref491905365"/>
      <w:bookmarkStart w:id="86"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87" w:name="_Toc494704352"/>
      <w:bookmarkStart w:id="88" w:name="_Toc494704396"/>
      <w:bookmarkStart w:id="89" w:name="_Ref491894367"/>
      <w:bookmarkStart w:id="90" w:name="_Ref491894370"/>
      <w:bookmarkStart w:id="91" w:name="_Toc515553665"/>
      <w:bookmarkEnd w:id="87"/>
      <w:bookmarkEnd w:id="88"/>
      <w:r w:rsidRPr="00840DE3">
        <w:t>List of First-generation Sulfonylureas</w:t>
      </w:r>
      <w:bookmarkEnd w:id="89"/>
      <w:bookmarkEnd w:id="90"/>
      <w:bookmarkEnd w:id="91"/>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92" w:name="_Ref491894378"/>
      <w:bookmarkStart w:id="93" w:name="_Ref491894381"/>
      <w:bookmarkStart w:id="94" w:name="_Toc515553666"/>
      <w:r w:rsidRPr="00840DE3">
        <w:t>List of Sulfa Drugs</w:t>
      </w:r>
      <w:bookmarkEnd w:id="92"/>
      <w:bookmarkEnd w:id="93"/>
      <w:bookmarkEnd w:id="94"/>
    </w:p>
    <w:p w14:paraId="354E10B3" w14:textId="0F879339" w:rsidR="000513F1" w:rsidRPr="00840DE3" w:rsidRDefault="00284310" w:rsidP="00B47060">
      <w:r w:rsidRPr="00840DE3">
        <w:t>acetazolamide</w:t>
      </w:r>
    </w:p>
    <w:p w14:paraId="22D412B1" w14:textId="3A4CF489" w:rsidR="00B47060" w:rsidRPr="00840DE3" w:rsidRDefault="00B47060" w:rsidP="00B47060">
      <w:r w:rsidRPr="00840DE3">
        <w:t>bendroflumethiazide</w:t>
      </w:r>
    </w:p>
    <w:p w14:paraId="3CDDDE3A" w14:textId="77777777" w:rsidR="00B47060" w:rsidRPr="00840DE3" w:rsidRDefault="00B47060" w:rsidP="00B47060">
      <w:r w:rsidRPr="00840DE3">
        <w:t>benzthiazide</w:t>
      </w:r>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r w:rsidRPr="00840DE3">
        <w:t>cyclothiazide</w:t>
      </w:r>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r w:rsidRPr="00840DE3">
        <w:t>hydroflumethiazide</w:t>
      </w:r>
    </w:p>
    <w:p w14:paraId="14006AF4" w14:textId="77777777" w:rsidR="00B47060" w:rsidRPr="00840DE3" w:rsidRDefault="00B47060" w:rsidP="00B47060">
      <w:r w:rsidRPr="00840DE3">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95" w:name="_Toc494704355"/>
      <w:bookmarkStart w:id="96" w:name="_Toc494704399"/>
      <w:bookmarkStart w:id="97" w:name="_Ref491906565"/>
      <w:bookmarkStart w:id="98" w:name="_Ref491906567"/>
      <w:bookmarkStart w:id="99" w:name="_Ref491906695"/>
      <w:bookmarkStart w:id="100" w:name="_Ref491906697"/>
      <w:bookmarkStart w:id="101" w:name="_Toc515553667"/>
      <w:bookmarkEnd w:id="95"/>
      <w:bookmarkEnd w:id="96"/>
      <w:r w:rsidRPr="00840DE3">
        <w:t>CVD C</w:t>
      </w:r>
      <w:r w:rsidR="008876A2" w:rsidRPr="00840DE3">
        <w:t xml:space="preserve">odes for use with </w:t>
      </w:r>
      <w:r w:rsidRPr="00840DE3">
        <w:t>E</w:t>
      </w:r>
      <w:r w:rsidR="008876A2" w:rsidRPr="00840DE3">
        <w:t>mpaglifozin</w:t>
      </w:r>
      <w:bookmarkEnd w:id="78"/>
      <w:bookmarkEnd w:id="79"/>
      <w:bookmarkEnd w:id="80"/>
      <w:bookmarkEnd w:id="81"/>
      <w:bookmarkEnd w:id="82"/>
      <w:bookmarkEnd w:id="83"/>
      <w:bookmarkEnd w:id="84"/>
      <w:bookmarkEnd w:id="85"/>
      <w:bookmarkEnd w:id="86"/>
      <w:bookmarkEnd w:id="97"/>
      <w:bookmarkEnd w:id="98"/>
      <w:bookmarkEnd w:id="99"/>
      <w:bookmarkEnd w:id="100"/>
      <w:bookmarkEnd w:id="101"/>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End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102" w:name="_Toc515553668"/>
      <w:r w:rsidRPr="00840DE3">
        <w:t>ICD</w:t>
      </w:r>
      <w:r w:rsidR="00200FA9" w:rsidRPr="00840DE3">
        <w:t>-</w:t>
      </w:r>
      <w:r w:rsidRPr="00840DE3">
        <w:t>9</w:t>
      </w:r>
      <w:bookmarkEnd w:id="102"/>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03" w:name="_Toc515553669"/>
      <w:r w:rsidRPr="00840DE3">
        <w:t>ICD</w:t>
      </w:r>
      <w:r w:rsidR="00200FA9" w:rsidRPr="00840DE3">
        <w:t>-</w:t>
      </w:r>
      <w:r w:rsidRPr="00840DE3">
        <w:t>10</w:t>
      </w:r>
      <w:bookmarkEnd w:id="103"/>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CAROTID 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MIDDLE CEREBRAL 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ANTERIOR 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NONTRAUMATIC INTRACRANIAL 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SUBSEQUENT 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04" w:name="_Ref491897722"/>
      <w:bookmarkStart w:id="105" w:name="_Ref491897725"/>
      <w:bookmarkStart w:id="106" w:name="_Ref491905446"/>
      <w:bookmarkStart w:id="107" w:name="_Ref491905448"/>
      <w:bookmarkStart w:id="108" w:name="_Ref491905530"/>
      <w:bookmarkStart w:id="109" w:name="_Ref491905533"/>
      <w:bookmarkStart w:id="110" w:name="_Toc515553670"/>
      <w:r w:rsidRPr="00840DE3">
        <w:t xml:space="preserve">Medication </w:t>
      </w:r>
      <w:r w:rsidR="0035130B" w:rsidRPr="00840DE3">
        <w:t>C</w:t>
      </w:r>
      <w:r w:rsidRPr="00840DE3">
        <w:t xml:space="preserve">utoff </w:t>
      </w:r>
      <w:r w:rsidR="0035130B" w:rsidRPr="00840DE3">
        <w:t>D</w:t>
      </w:r>
      <w:r w:rsidRPr="00840DE3">
        <w:t>oses</w:t>
      </w:r>
      <w:bookmarkEnd w:id="104"/>
      <w:bookmarkEnd w:id="105"/>
      <w:bookmarkEnd w:id="106"/>
      <w:bookmarkEnd w:id="107"/>
      <w:bookmarkEnd w:id="108"/>
      <w:bookmarkEnd w:id="109"/>
      <w:bookmarkEnd w:id="110"/>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dose that is greater than 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840DE3" w:rsidRDefault="00A10362"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2550.1</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2000.1</w:t>
            </w:r>
          </w:p>
        </w:tc>
      </w:tr>
      <w:tr w:rsidR="00AC33C6" w:rsidRPr="00840DE3"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840DE3" w:rsidRDefault="00A10362" w:rsidP="00771968">
            <w:pPr>
              <w:spacing w:line="240" w:lineRule="auto"/>
              <w:ind w:left="0"/>
              <w:rPr>
                <w:rFonts w:ascii="Calibri" w:eastAsia="Times New Roman" w:hAnsi="Calibri" w:cs="Times New Roman"/>
                <w:color w:val="000000"/>
              </w:rPr>
            </w:pPr>
            <w:r>
              <w:rPr>
                <w:rFonts w:ascii="Calibri" w:eastAsia="Times New Roman" w:hAnsi="Calibri" w:cs="Times New Roman"/>
                <w:color w:val="000000"/>
              </w:rPr>
              <w:t>Pioglitazone</w:t>
            </w:r>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11" w:name="_Toc494704360"/>
      <w:bookmarkStart w:id="112" w:name="_Toc494704404"/>
      <w:bookmarkStart w:id="113" w:name="_Ref491895090"/>
      <w:bookmarkStart w:id="114" w:name="_Ref491895093"/>
      <w:bookmarkStart w:id="115" w:name="_Ref491895201"/>
      <w:bookmarkStart w:id="116" w:name="_Ref491895204"/>
      <w:bookmarkStart w:id="117" w:name="_Toc515553671"/>
      <w:bookmarkEnd w:id="111"/>
      <w:bookmarkEnd w:id="112"/>
      <w:r w:rsidRPr="00840DE3">
        <w:t>Dealing with Adverse Reactions (ADRs)</w:t>
      </w:r>
      <w:bookmarkEnd w:id="113"/>
      <w:bookmarkEnd w:id="114"/>
      <w:bookmarkEnd w:id="115"/>
      <w:bookmarkEnd w:id="116"/>
      <w:bookmarkEnd w:id="117"/>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18" w:name="_Toc494704362"/>
      <w:bookmarkStart w:id="119" w:name="_Toc494704406"/>
      <w:bookmarkStart w:id="120" w:name="_Ref491898712"/>
      <w:bookmarkStart w:id="121" w:name="_Ref491898724"/>
      <w:bookmarkStart w:id="122" w:name="_Ref491900009"/>
      <w:bookmarkStart w:id="123" w:name="_Ref491900047"/>
      <w:bookmarkStart w:id="124" w:name="_Toc515553672"/>
      <w:bookmarkEnd w:id="118"/>
      <w:bookmarkEnd w:id="119"/>
      <w:r w:rsidRPr="00840DE3">
        <w:t>Example</w:t>
      </w:r>
      <w:r w:rsidR="00590398" w:rsidRPr="00840DE3">
        <w:t>s using Sample</w:t>
      </w:r>
      <w:r w:rsidR="0035130B" w:rsidRPr="00840DE3">
        <w:t xml:space="preserve"> Patient Characteristics</w:t>
      </w:r>
      <w:bookmarkEnd w:id="120"/>
      <w:bookmarkEnd w:id="121"/>
      <w:bookmarkEnd w:id="122"/>
      <w:bookmarkEnd w:id="123"/>
      <w:bookmarkEnd w:id="124"/>
    </w:p>
    <w:p w14:paraId="10D04B6F" w14:textId="0D6E8847" w:rsidR="00C22F9F" w:rsidRPr="00840DE3" w:rsidRDefault="00C22F9F" w:rsidP="0035130B">
      <w:pPr>
        <w:pStyle w:val="Heading2"/>
        <w:numPr>
          <w:ilvl w:val="0"/>
          <w:numId w:val="0"/>
        </w:numPr>
        <w:ind w:left="360"/>
      </w:pPr>
      <w:bookmarkStart w:id="125" w:name="_Toc515553673"/>
      <w:r w:rsidRPr="00840DE3">
        <w:t>One drug Scenario</w:t>
      </w:r>
      <w:bookmarkEnd w:id="125"/>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26" w:name="_Ref491899671"/>
      <w:r w:rsidRPr="00840DE3">
        <w:t>Case A</w:t>
      </w:r>
      <w:bookmarkEnd w:id="126"/>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27" w:name="_Ref491899685"/>
      <w:r w:rsidRPr="00840DE3">
        <w:t>Case B</w:t>
      </w:r>
      <w:bookmarkEnd w:id="127"/>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28" w:name="_Ref491899696"/>
      <w:r w:rsidRPr="00840DE3">
        <w:t>Case C</w:t>
      </w:r>
      <w:bookmarkEnd w:id="128"/>
    </w:p>
    <w:p w14:paraId="2E8A1BD4" w14:textId="4FA8CB41" w:rsidR="000C6B40" w:rsidRPr="00840DE3" w:rsidRDefault="00BD2D27" w:rsidP="00590398">
      <w:r w:rsidRPr="00840DE3">
        <w:t>D</w:t>
      </w:r>
      <w:r w:rsidR="000C6B40" w:rsidRPr="00840DE3">
        <w:t>rug not contraindicated and dose cannot be increased because of a “do not intensify uncontrollable” criteria</w:t>
      </w:r>
      <w:r w:rsidR="00C15335" w:rsidRPr="00840DE3">
        <w:t>:</w:t>
      </w:r>
    </w:p>
    <w:p w14:paraId="035A52BC" w14:textId="18363DCE" w:rsidR="000C6B40" w:rsidRPr="00840DE3" w:rsidRDefault="000C6B40" w:rsidP="00590398">
      <w:r w:rsidRPr="00840DE3">
        <w:t>Medication:</w:t>
      </w:r>
      <w:r w:rsidR="006640C9" w:rsidRPr="00840DE3">
        <w:t xml:space="preserve"> </w:t>
      </w:r>
      <w:r w:rsidRPr="00840DE3">
        <w:t>metformin 1000 mg</w:t>
      </w:r>
    </w:p>
    <w:p w14:paraId="3B24AB0C" w14:textId="089674F5"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40 on 8/1/2017</w:t>
      </w:r>
    </w:p>
    <w:p w14:paraId="625AE423" w14:textId="0AC87B23" w:rsidR="00C22F9F" w:rsidRPr="00840DE3" w:rsidRDefault="003106F5" w:rsidP="00590398">
      <w:r w:rsidRPr="00840DE3">
        <w:t>Recommendation is to add second line drug</w:t>
      </w:r>
    </w:p>
    <w:p w14:paraId="039A6957" w14:textId="77777777" w:rsidR="00BD2D27" w:rsidRPr="00840DE3" w:rsidRDefault="000C6B40" w:rsidP="00BD2D27">
      <w:pPr>
        <w:pStyle w:val="Heading3"/>
      </w:pPr>
      <w:bookmarkStart w:id="129" w:name="_Ref491899707"/>
      <w:r w:rsidRPr="00840DE3">
        <w:t>Case D</w:t>
      </w:r>
      <w:bookmarkEnd w:id="129"/>
    </w:p>
    <w:p w14:paraId="4D391E31" w14:textId="466A7F64" w:rsidR="000C6B40" w:rsidRPr="00840DE3" w:rsidRDefault="00BD2D27" w:rsidP="00590398">
      <w:r w:rsidRPr="00840DE3">
        <w:t>D</w:t>
      </w:r>
      <w:r w:rsidR="000C6B40" w:rsidRPr="00840DE3">
        <w:t>rug not contraindicated and dose cannot be increased because drug is at maximum dose</w:t>
      </w:r>
      <w:r w:rsidR="00C15335" w:rsidRPr="00840DE3">
        <w:t>:</w:t>
      </w:r>
    </w:p>
    <w:p w14:paraId="2348128C" w14:textId="553759A5" w:rsidR="000C6B40" w:rsidRPr="00840DE3" w:rsidRDefault="000C6B40" w:rsidP="00590398">
      <w:r w:rsidRPr="00840DE3">
        <w:t>Medication:</w:t>
      </w:r>
      <w:r w:rsidR="006640C9" w:rsidRPr="00840DE3">
        <w:t xml:space="preserve"> </w:t>
      </w:r>
      <w:r w:rsidRPr="00840DE3">
        <w:t>metformin 2500 mg</w:t>
      </w:r>
    </w:p>
    <w:p w14:paraId="1EFC490C" w14:textId="2FFB51B3"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A915CE7" w14:textId="2378E002" w:rsidR="003106F5" w:rsidRPr="00840DE3" w:rsidRDefault="003106F5" w:rsidP="00590398">
      <w:r w:rsidRPr="00840DE3">
        <w:t>Recommendation is to add second line drug</w:t>
      </w:r>
    </w:p>
    <w:p w14:paraId="1CA3ADF7" w14:textId="77777777" w:rsidR="00BD2D27" w:rsidRPr="00840DE3" w:rsidRDefault="000C6B40" w:rsidP="00BD2D27">
      <w:pPr>
        <w:pStyle w:val="Heading3"/>
      </w:pPr>
      <w:bookmarkStart w:id="130" w:name="_Ref491899718"/>
      <w:r w:rsidRPr="00840DE3">
        <w:t>Case E</w:t>
      </w:r>
      <w:bookmarkEnd w:id="130"/>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4C7B8A6F" w:rsidR="003106F5" w:rsidRPr="00840DE3" w:rsidRDefault="003106F5" w:rsidP="00590398">
      <w:r w:rsidRPr="00840DE3">
        <w:t>Recommendation is to stop metformin and add second line drug</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31" w:name="_Two_drug_Scenario"/>
      <w:bookmarkStart w:id="132" w:name="_Ref494706368"/>
      <w:bookmarkStart w:id="133" w:name="_Toc515553674"/>
      <w:bookmarkEnd w:id="131"/>
      <w:r w:rsidRPr="00840DE3">
        <w:t>Two drug Scenario</w:t>
      </w:r>
      <w:bookmarkEnd w:id="132"/>
      <w:bookmarkEnd w:id="133"/>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333EEC">
      <w:pPr>
        <w:pStyle w:val="Heading3"/>
      </w:pPr>
      <w:bookmarkStart w:id="134" w:name="_Ref491901006"/>
      <w:r w:rsidRPr="00840DE3">
        <w:t>Case 1</w:t>
      </w:r>
      <w:bookmarkEnd w:id="134"/>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77ADC677" w:rsidR="005E0AD3" w:rsidRPr="00840DE3" w:rsidRDefault="00A969C3" w:rsidP="00333EEC">
      <w:r w:rsidRPr="00840DE3">
        <w:t>Recommendation is to stop both drugs; add different second line drug</w:t>
      </w:r>
    </w:p>
    <w:p w14:paraId="3EA376EF" w14:textId="77777777" w:rsidR="00333EEC" w:rsidRPr="00840DE3" w:rsidRDefault="005E0AD3" w:rsidP="00333EEC">
      <w:pPr>
        <w:pStyle w:val="Heading3"/>
      </w:pPr>
      <w:bookmarkStart w:id="135" w:name="_Ref491901016"/>
      <w:r w:rsidRPr="00840DE3">
        <w:t>Case 2</w:t>
      </w:r>
      <w:bookmarkEnd w:id="135"/>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36" w:name="_Ref491901104"/>
      <w:r w:rsidRPr="00840DE3">
        <w:t>Case 3</w:t>
      </w:r>
      <w:bookmarkEnd w:id="136"/>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37" w:name="_Ref491901113"/>
      <w:r w:rsidRPr="00840DE3">
        <w:t>Case 4</w:t>
      </w:r>
      <w:bookmarkEnd w:id="137"/>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38" w:name="_Ref491901127"/>
      <w:r w:rsidRPr="00840DE3">
        <w:t>Case 5</w:t>
      </w:r>
      <w:bookmarkEnd w:id="138"/>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39" w:name="_Ref491901978"/>
      <w:r w:rsidRPr="00840DE3">
        <w:t>Case 6</w:t>
      </w:r>
      <w:bookmarkEnd w:id="139"/>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t>Recommendation is to increase dose of metformin or glipizide</w:t>
      </w:r>
    </w:p>
    <w:p w14:paraId="19E5758F" w14:textId="77777777" w:rsidR="00E2554C" w:rsidRPr="00840DE3" w:rsidRDefault="00E2554C" w:rsidP="00E2554C">
      <w:pPr>
        <w:pStyle w:val="Heading3"/>
      </w:pPr>
      <w:bookmarkStart w:id="140" w:name="_Ref491901987"/>
      <w:r w:rsidRPr="00840DE3">
        <w:t>Case 7</w:t>
      </w:r>
      <w:bookmarkEnd w:id="140"/>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0A675056"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4E3F09">
        <w:t xml:space="preserve"> and</w:t>
      </w:r>
      <w:r w:rsidR="003F3436" w:rsidRPr="00840DE3">
        <w:t xml:space="preserve">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41" w:name="_Ref491902001"/>
      <w:r w:rsidRPr="00840DE3">
        <w:t>Case 8</w:t>
      </w:r>
      <w:bookmarkEnd w:id="141"/>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42" w:name="_Ref491902013"/>
      <w:r w:rsidRPr="00840DE3">
        <w:t>Case 9</w:t>
      </w:r>
      <w:bookmarkEnd w:id="142"/>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43" w:name="_Ref491902023"/>
      <w:r w:rsidRPr="00840DE3">
        <w:t>Case 10</w:t>
      </w:r>
      <w:bookmarkEnd w:id="143"/>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44" w:name="_Ref491902035"/>
      <w:r w:rsidRPr="00840DE3">
        <w:t>Case 11</w:t>
      </w:r>
      <w:bookmarkEnd w:id="144"/>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45" w:name="_Ref491902049"/>
      <w:r w:rsidRPr="00840DE3">
        <w:t>Case 12</w:t>
      </w:r>
      <w:bookmarkEnd w:id="145"/>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46" w:name="_Ref491902061"/>
      <w:r w:rsidRPr="00840DE3">
        <w:t>Case 13</w:t>
      </w:r>
      <w:bookmarkEnd w:id="146"/>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47" w:name="_Ref491902071"/>
      <w:r w:rsidRPr="00840DE3">
        <w:t>Case 14</w:t>
      </w:r>
      <w:bookmarkEnd w:id="147"/>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48" w:name="_Ref491902083"/>
      <w:r w:rsidRPr="00840DE3">
        <w:t>Case 15</w:t>
      </w:r>
      <w:bookmarkEnd w:id="148"/>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149" w:name="_Toc515553675" w:displacedByCustomXml="next"/>
    <w:bookmarkStart w:id="150"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149"/>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End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2E5DE6"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2E5DE6"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151" w:name="_Toc515553676"/>
          <w:r w:rsidRPr="00840DE3">
            <w:t>Wish list/To do’s</w:t>
          </w:r>
        </w:p>
        <w:bookmarkEnd w:id="150" w:displacedByCustomXml="next"/>
      </w:sdtContent>
    </w:sdt>
    <w:bookmarkEnd w:id="151"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0A89033"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w:t>
      </w:r>
      <w:r w:rsidR="009F769A">
        <w:t>t encoding of bad drug partners, which, in turn impacts count of number of encoded drugs in same drug class.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63404830" w:rsidR="00550452" w:rsidRPr="00840DE3" w:rsidRDefault="00550452" w:rsidP="00550452">
      <w:pPr>
        <w:spacing w:before="0" w:after="0" w:line="276" w:lineRule="auto"/>
        <w:ind w:left="720"/>
      </w:pPr>
      <w:r w:rsidRPr="00840DE3">
        <w:t>Specific case:  presence of pioglitazone and gemfibrozil.  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E3E2EA6" w:rsidR="00A03892" w:rsidRDefault="00A03892" w:rsidP="00A03892">
      <w:pPr>
        <w:ind w:left="1440"/>
      </w:pPr>
      <w:r>
        <w:t>Also, how to deal with metformin if eGFR&lt;45 in the past year and is not at max dose, but cannot increase dose.   How to integrate this situation with criterion above “at max dose”.  Similarly for saxigliptin.</w:t>
      </w:r>
    </w:p>
    <w:p w14:paraId="6BE1E13F" w14:textId="77777777" w:rsidR="00F2571D" w:rsidRDefault="00A01F56" w:rsidP="00A03892">
      <w:pPr>
        <w:ind w:left="1440"/>
      </w:pPr>
      <w:r>
        <w:t xml:space="preserve">What if we have “decrease dose situation” when drug at max dose?  </w:t>
      </w:r>
    </w:p>
    <w:p w14:paraId="62907B9B" w14:textId="138B8E61" w:rsidR="00B654A9" w:rsidRDefault="00B654A9" w:rsidP="00A03892">
      <w:pPr>
        <w:ind w:left="1440"/>
      </w:pPr>
      <w:r>
        <w:t>Need to check about when to do referral/messages about referral: on 3 drugs not on 2?</w:t>
      </w:r>
    </w:p>
    <w:p w14:paraId="615FF5F7" w14:textId="7CDC80CF" w:rsidR="00B654A9" w:rsidRDefault="00B654A9" w:rsidP="00A03892">
      <w:pPr>
        <w:ind w:left="1440"/>
      </w:pPr>
      <w:r>
        <w:t>CO question:  why not make out of scope &gt;=4 drugs? What are issues?</w:t>
      </w:r>
    </w:p>
    <w:p w14:paraId="45F082DC" w14:textId="06940D7D" w:rsidR="00862038" w:rsidRDefault="00B654A9" w:rsidP="00862038">
      <w:r>
        <w:t>Put on wishlist</w:t>
      </w:r>
      <w:r w:rsidR="00862038">
        <w:t xml:space="preserve"> </w:t>
      </w:r>
      <w:r w:rsidR="00C31CF6">
        <w:t>at 8/14/2018 medsafe meeting.</w:t>
      </w:r>
    </w:p>
    <w:p w14:paraId="4ECF54C2" w14:textId="2F556368" w:rsidR="00B654A9" w:rsidRDefault="00B654A9" w:rsidP="00862038"/>
    <w:p w14:paraId="5846C277" w14:textId="0F38336C" w:rsidR="00521967" w:rsidRPr="00840DE3" w:rsidRDefault="00521967" w:rsidP="00521967">
      <w:pPr>
        <w:pStyle w:val="ListParagraph"/>
        <w:numPr>
          <w:ilvl w:val="0"/>
          <w:numId w:val="24"/>
        </w:numPr>
      </w:pPr>
      <w:r w:rsidRPr="00840DE3">
        <w:t>Display order of drug recommendations (from 4/24/2018 medsafe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Dependency:  need Drug_Usage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 OLDer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incr dose glip  YES</w:t>
      </w:r>
    </w:p>
    <w:p w14:paraId="6A5AFA19" w14:textId="1CAFEE88" w:rsidR="00521967" w:rsidRPr="00A25FED" w:rsidRDefault="00521967" w:rsidP="00144079">
      <w:pPr>
        <w:rPr>
          <w:szCs w:val="24"/>
        </w:rPr>
      </w:pPr>
    </w:p>
    <w:p w14:paraId="245EAB1A" w14:textId="59081704" w:rsidR="00144079" w:rsidRPr="00834A5E"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r w:rsidR="00C06CB7">
        <w:rPr>
          <w:rFonts w:ascii="Calibri" w:eastAsia="Times New Roman" w:hAnsi="Calibri" w:cs="Times New Roman"/>
          <w:szCs w:val="24"/>
        </w:rPr>
        <w:t xml:space="preserve">  Questions similar to sax.</w:t>
      </w:r>
    </w:p>
    <w:p w14:paraId="379F73C7" w14:textId="4A963AD7" w:rsidR="00834A5E" w:rsidRPr="007209BD" w:rsidRDefault="00281B93" w:rsidP="00144079">
      <w:pPr>
        <w:pStyle w:val="ListParagraph"/>
        <w:numPr>
          <w:ilvl w:val="0"/>
          <w:numId w:val="24"/>
        </w:numPr>
        <w:rPr>
          <w:szCs w:val="24"/>
        </w:rPr>
      </w:pPr>
      <w:r>
        <w:rPr>
          <w:rFonts w:ascii="Calibri" w:eastAsia="Times New Roman" w:hAnsi="Calibri" w:cs="Times New Roman"/>
          <w:szCs w:val="24"/>
        </w:rPr>
        <w:t xml:space="preserve">From clinical and medsafe meeting 6/26/2028)  </w:t>
      </w:r>
      <w:r w:rsidR="00834A5E">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Pr>
          <w:rFonts w:ascii="Calibri" w:eastAsia="Times New Roman" w:hAnsi="Calibri" w:cs="Times New Roman"/>
          <w:szCs w:val="24"/>
        </w:rPr>
        <w:t xml:space="preserve">  Need to consider:</w:t>
      </w:r>
    </w:p>
    <w:p w14:paraId="072A0C21" w14:textId="3788E359"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14:paraId="794AF3E2" w14:textId="29B1056E"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14:paraId="2667DD34" w14:textId="060D3B63" w:rsidR="00C06CB7" w:rsidRDefault="00C06CB7" w:rsidP="00C06CB7">
      <w:pPr>
        <w:pStyle w:val="ListParagraph"/>
        <w:numPr>
          <w:ilvl w:val="0"/>
          <w:numId w:val="24"/>
        </w:numPr>
        <w:rPr>
          <w:szCs w:val="24"/>
        </w:rPr>
      </w:pPr>
      <w:r>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Default="00AB1627" w:rsidP="00C06CB7">
      <w:pPr>
        <w:pStyle w:val="ListParagraph"/>
        <w:numPr>
          <w:ilvl w:val="0"/>
          <w:numId w:val="24"/>
        </w:numPr>
        <w:rPr>
          <w:szCs w:val="24"/>
        </w:rPr>
      </w:pPr>
      <w:r>
        <w:rPr>
          <w:szCs w:val="24"/>
        </w:rPr>
        <w:t>From offline testing 7/10/2018.  Display low MPR message for encoded drugs if patient doesn’t receive rec’s and has old HbA1c</w:t>
      </w:r>
    </w:p>
    <w:p w14:paraId="5CD54BFA" w14:textId="70BA8573" w:rsidR="00AB1627" w:rsidRDefault="00AB1627" w:rsidP="00C06CB7">
      <w:pPr>
        <w:pStyle w:val="ListParagraph"/>
        <w:numPr>
          <w:ilvl w:val="0"/>
          <w:numId w:val="24"/>
        </w:numPr>
        <w:rPr>
          <w:szCs w:val="24"/>
        </w:rPr>
      </w:pPr>
      <w:r>
        <w:rPr>
          <w:szCs w:val="24"/>
        </w:rPr>
        <w:t xml:space="preserve"> From offline testing 7/10/2018.  Display low MPR message for encoded drugs if patient doesn’t receive rec’s and has active prescriptions of 3+ encoded meds.</w:t>
      </w:r>
    </w:p>
    <w:p w14:paraId="3E9E8E67" w14:textId="6191E4C5" w:rsidR="00B654A9" w:rsidRPr="00C06CB7" w:rsidRDefault="00B654A9" w:rsidP="00C06CB7">
      <w:pPr>
        <w:pStyle w:val="ListParagraph"/>
        <w:numPr>
          <w:ilvl w:val="0"/>
          <w:numId w:val="24"/>
        </w:numPr>
        <w:rPr>
          <w:szCs w:val="24"/>
        </w:rPr>
      </w:pPr>
      <w:r>
        <w:rPr>
          <w:szCs w:val="24"/>
        </w:rPr>
        <w:t xml:space="preserve"> Currently, if patient on DM meds but not metformin, then we rec metformin as well as second line drugs.  Mike request that we only recommend metformin; if metformin has absolute contra, then rec second line drugs.</w:t>
      </w: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9668" w14:textId="77777777" w:rsidR="00A01F56" w:rsidRDefault="00A01F56" w:rsidP="00FF463F">
      <w:pPr>
        <w:spacing w:line="240" w:lineRule="auto"/>
      </w:pPr>
      <w:r>
        <w:separator/>
      </w:r>
    </w:p>
  </w:endnote>
  <w:endnote w:type="continuationSeparator" w:id="0">
    <w:p w14:paraId="72F28FC3" w14:textId="77777777" w:rsidR="00A01F56" w:rsidRDefault="00A01F56"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5192" w14:textId="77777777" w:rsidR="00A01F56" w:rsidRDefault="00A01F56" w:rsidP="00FF463F">
      <w:pPr>
        <w:spacing w:line="240" w:lineRule="auto"/>
      </w:pPr>
      <w:r>
        <w:separator/>
      </w:r>
    </w:p>
  </w:footnote>
  <w:footnote w:type="continuationSeparator" w:id="0">
    <w:p w14:paraId="18EDEE85" w14:textId="77777777" w:rsidR="00A01F56" w:rsidRDefault="00A01F56" w:rsidP="00FF463F">
      <w:pPr>
        <w:spacing w:line="240" w:lineRule="auto"/>
      </w:pPr>
      <w:r>
        <w:continuationSeparator/>
      </w:r>
    </w:p>
  </w:footnote>
  <w:footnote w:id="1">
    <w:p w14:paraId="36943A82" w14:textId="22A0B8E0" w:rsidR="00A01F56" w:rsidRPr="00E8640C" w:rsidRDefault="00A01F56"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A01F56" w:rsidRPr="00E8640C" w:rsidRDefault="00A01F56"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3B5347F1" w14:textId="00D3C6AC" w:rsidR="00A01F56" w:rsidRDefault="00A01F56">
      <w:pPr>
        <w:pStyle w:val="FootnoteText"/>
      </w:pPr>
      <w:r>
        <w:rPr>
          <w:rStyle w:val="FootnoteReference"/>
        </w:rPr>
        <w:footnoteRef/>
      </w:r>
      <w:r>
        <w:t xml:space="preserve"> These additional reactions are not encoded in the KB but handled by mapping table. </w:t>
      </w:r>
    </w:p>
  </w:footnote>
  <w:footnote w:id="4">
    <w:p w14:paraId="15E04482" w14:textId="4F3427D5" w:rsidR="00A01F56" w:rsidRDefault="00A01F56">
      <w:pPr>
        <w:pStyle w:val="FootnoteText"/>
      </w:pPr>
      <w:r>
        <w:rPr>
          <w:rStyle w:val="FootnoteReference"/>
        </w:rPr>
        <w:footnoteRef/>
      </w:r>
      <w:r>
        <w:t xml:space="preserve"> There are some bicarbonate laboratory measurements that have a slightly lower limit of normal (22, 23).  For simplicity, we have used the highest (and most conserative) cut off.</w:t>
      </w:r>
    </w:p>
  </w:footnote>
  <w:footnote w:id="5">
    <w:p w14:paraId="3FF6A0BE" w14:textId="4DB25B96" w:rsidR="00A01F56" w:rsidRPr="00E8640C" w:rsidRDefault="00A01F56" w:rsidP="00E8640C">
      <w:pPr>
        <w:pStyle w:val="FootnoteText"/>
      </w:pPr>
      <w:r w:rsidRPr="00F714EC">
        <w:rPr>
          <w:rStyle w:val="FootnoteReference"/>
        </w:rPr>
        <w:footnoteRef/>
      </w:r>
      <w:r w:rsidRPr="00E8640C">
        <w:t xml:space="preserve"> ULN = Upper Limit of Normal</w:t>
      </w:r>
    </w:p>
  </w:footnote>
  <w:footnote w:id="6">
    <w:p w14:paraId="7C34F0A0" w14:textId="1C4061CD" w:rsidR="00A01F56" w:rsidRPr="00F136B2" w:rsidRDefault="00A01F56">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A01F56" w:rsidRDefault="00A01F56">
      <w:pPr>
        <w:pStyle w:val="FootnoteText"/>
      </w:pPr>
    </w:p>
  </w:footnote>
  <w:footnote w:id="7">
    <w:p w14:paraId="074C6471" w14:textId="1D36B9F9" w:rsidR="00A01F56" w:rsidRPr="00F136B2" w:rsidRDefault="00A01F56"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A01F56" w:rsidRPr="00566AAF" w:rsidRDefault="00A01F56"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A01F56" w:rsidRDefault="00A01F56">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0BBAA3B7" w:rsidR="00A01F56" w:rsidRDefault="00A01F56">
    <w:pPr>
      <w:pStyle w:val="Header"/>
    </w:pPr>
    <w:r>
      <w:tab/>
    </w:r>
    <w:r>
      <w:tab/>
    </w:r>
    <w:r>
      <w:fldChar w:fldCharType="begin"/>
    </w:r>
    <w:r>
      <w:instrText xml:space="preserve"> PAGE  \* Arabic  \* MERGEFORMAT </w:instrText>
    </w:r>
    <w:r>
      <w:fldChar w:fldCharType="separate"/>
    </w:r>
    <w:r w:rsidR="002E5DE6">
      <w:rPr>
        <w:noProof/>
      </w:rPr>
      <w:t>27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0"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29"/>
  </w:num>
  <w:num w:numId="4">
    <w:abstractNumId w:val="16"/>
  </w:num>
  <w:num w:numId="5">
    <w:abstractNumId w:val="33"/>
  </w:num>
  <w:num w:numId="6">
    <w:abstractNumId w:val="17"/>
  </w:num>
  <w:num w:numId="7">
    <w:abstractNumId w:val="9"/>
  </w:num>
  <w:num w:numId="8">
    <w:abstractNumId w:val="35"/>
  </w:num>
  <w:num w:numId="9">
    <w:abstractNumId w:val="0"/>
  </w:num>
  <w:num w:numId="10">
    <w:abstractNumId w:val="19"/>
  </w:num>
  <w:num w:numId="11">
    <w:abstractNumId w:val="24"/>
  </w:num>
  <w:num w:numId="12">
    <w:abstractNumId w:val="25"/>
  </w:num>
  <w:num w:numId="13">
    <w:abstractNumId w:val="15"/>
  </w:num>
  <w:num w:numId="14">
    <w:abstractNumId w:val="7"/>
  </w:num>
  <w:num w:numId="15">
    <w:abstractNumId w:val="31"/>
  </w:num>
  <w:num w:numId="16">
    <w:abstractNumId w:val="1"/>
  </w:num>
  <w:num w:numId="17">
    <w:abstractNumId w:val="21"/>
  </w:num>
  <w:num w:numId="18">
    <w:abstractNumId w:val="27"/>
  </w:num>
  <w:num w:numId="19">
    <w:abstractNumId w:val="27"/>
  </w:num>
  <w:num w:numId="20">
    <w:abstractNumId w:val="27"/>
  </w:num>
  <w:num w:numId="21">
    <w:abstractNumId w:val="32"/>
  </w:num>
  <w:num w:numId="22">
    <w:abstractNumId w:val="11"/>
  </w:num>
  <w:num w:numId="23">
    <w:abstractNumId w:val="26"/>
  </w:num>
  <w:num w:numId="24">
    <w:abstractNumId w:val="20"/>
  </w:num>
  <w:num w:numId="25">
    <w:abstractNumId w:val="36"/>
  </w:num>
  <w:num w:numId="26">
    <w:abstractNumId w:val="38"/>
  </w:num>
  <w:num w:numId="27">
    <w:abstractNumId w:val="13"/>
  </w:num>
  <w:num w:numId="28">
    <w:abstractNumId w:val="5"/>
  </w:num>
  <w:num w:numId="29">
    <w:abstractNumId w:val="37"/>
  </w:num>
  <w:num w:numId="30">
    <w:abstractNumId w:val="10"/>
  </w:num>
  <w:num w:numId="31">
    <w:abstractNumId w:val="12"/>
  </w:num>
  <w:num w:numId="32">
    <w:abstractNumId w:val="22"/>
  </w:num>
  <w:num w:numId="33">
    <w:abstractNumId w:val="3"/>
  </w:num>
  <w:num w:numId="34">
    <w:abstractNumId w:val="2"/>
  </w:num>
  <w:num w:numId="35">
    <w:abstractNumId w:val="14"/>
  </w:num>
  <w:num w:numId="36">
    <w:abstractNumId w:val="30"/>
  </w:num>
  <w:num w:numId="37">
    <w:abstractNumId w:val="4"/>
  </w:num>
  <w:num w:numId="38">
    <w:abstractNumId w:val="34"/>
  </w:num>
  <w:num w:numId="39">
    <w:abstractNumId w:val="23"/>
  </w:num>
  <w:num w:numId="40">
    <w:abstractNumId w:val="6"/>
  </w:num>
  <w:num w:numId="41">
    <w:abstractNumId w:val="8"/>
  </w:num>
  <w:num w:numId="4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D6CDD"/>
    <w:rsid w:val="000E0CC9"/>
    <w:rsid w:val="000E4A8E"/>
    <w:rsid w:val="000E542B"/>
    <w:rsid w:val="000F3520"/>
    <w:rsid w:val="000F4478"/>
    <w:rsid w:val="000F57E0"/>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33968"/>
    <w:rsid w:val="001377D7"/>
    <w:rsid w:val="00137AD7"/>
    <w:rsid w:val="00144079"/>
    <w:rsid w:val="001463BD"/>
    <w:rsid w:val="001469F8"/>
    <w:rsid w:val="00150E7A"/>
    <w:rsid w:val="001511A4"/>
    <w:rsid w:val="001514D5"/>
    <w:rsid w:val="001601E0"/>
    <w:rsid w:val="001617ED"/>
    <w:rsid w:val="001617F6"/>
    <w:rsid w:val="001649EA"/>
    <w:rsid w:val="001651D6"/>
    <w:rsid w:val="00167A74"/>
    <w:rsid w:val="00171031"/>
    <w:rsid w:val="00171E20"/>
    <w:rsid w:val="00172592"/>
    <w:rsid w:val="0017323A"/>
    <w:rsid w:val="00176DF7"/>
    <w:rsid w:val="0017775B"/>
    <w:rsid w:val="0018074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1F7B90"/>
    <w:rsid w:val="00200FA9"/>
    <w:rsid w:val="00202082"/>
    <w:rsid w:val="002049DD"/>
    <w:rsid w:val="00206BAF"/>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1B93"/>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6B3"/>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3F09"/>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31CA"/>
    <w:rsid w:val="006F4EF2"/>
    <w:rsid w:val="006F5EB0"/>
    <w:rsid w:val="006F5FDC"/>
    <w:rsid w:val="006F75BE"/>
    <w:rsid w:val="0070200E"/>
    <w:rsid w:val="00707AA0"/>
    <w:rsid w:val="0071043F"/>
    <w:rsid w:val="00715588"/>
    <w:rsid w:val="00716D5D"/>
    <w:rsid w:val="007207D0"/>
    <w:rsid w:val="007209BD"/>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5FDB"/>
    <w:rsid w:val="0083108E"/>
    <w:rsid w:val="008313C5"/>
    <w:rsid w:val="00832665"/>
    <w:rsid w:val="00833A6F"/>
    <w:rsid w:val="00834152"/>
    <w:rsid w:val="00834317"/>
    <w:rsid w:val="00834A5E"/>
    <w:rsid w:val="00835D0A"/>
    <w:rsid w:val="008372B0"/>
    <w:rsid w:val="008375FA"/>
    <w:rsid w:val="00840DE3"/>
    <w:rsid w:val="00842552"/>
    <w:rsid w:val="00844A58"/>
    <w:rsid w:val="00847670"/>
    <w:rsid w:val="008506E3"/>
    <w:rsid w:val="00850BF6"/>
    <w:rsid w:val="00853F76"/>
    <w:rsid w:val="008559C1"/>
    <w:rsid w:val="00860253"/>
    <w:rsid w:val="00862038"/>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33B3"/>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37559"/>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79B"/>
    <w:rsid w:val="0098560A"/>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34AD"/>
    <w:rsid w:val="009E72E8"/>
    <w:rsid w:val="009E78E2"/>
    <w:rsid w:val="009F0BC0"/>
    <w:rsid w:val="009F119F"/>
    <w:rsid w:val="009F33DB"/>
    <w:rsid w:val="009F4372"/>
    <w:rsid w:val="009F7041"/>
    <w:rsid w:val="009F769A"/>
    <w:rsid w:val="00A01537"/>
    <w:rsid w:val="00A01F56"/>
    <w:rsid w:val="00A031EF"/>
    <w:rsid w:val="00A03892"/>
    <w:rsid w:val="00A050F8"/>
    <w:rsid w:val="00A06113"/>
    <w:rsid w:val="00A072CB"/>
    <w:rsid w:val="00A10362"/>
    <w:rsid w:val="00A1118A"/>
    <w:rsid w:val="00A117A5"/>
    <w:rsid w:val="00A13B46"/>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54A9"/>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B7E14"/>
    <w:rsid w:val="00CC2438"/>
    <w:rsid w:val="00CC338B"/>
    <w:rsid w:val="00CC3557"/>
    <w:rsid w:val="00CC445C"/>
    <w:rsid w:val="00CC45E5"/>
    <w:rsid w:val="00CC4C29"/>
    <w:rsid w:val="00CC5CAF"/>
    <w:rsid w:val="00CC5CF4"/>
    <w:rsid w:val="00CD0298"/>
    <w:rsid w:val="00CD1155"/>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73E"/>
    <w:rsid w:val="00E83E19"/>
    <w:rsid w:val="00E84B31"/>
    <w:rsid w:val="00E8640C"/>
    <w:rsid w:val="00E8684F"/>
    <w:rsid w:val="00E943DE"/>
    <w:rsid w:val="00E96886"/>
    <w:rsid w:val="00E97325"/>
    <w:rsid w:val="00EA0F0D"/>
    <w:rsid w:val="00EA0FE2"/>
    <w:rsid w:val="00EA2C08"/>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9E9"/>
    <w:rsid w:val="00F2571D"/>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42D4"/>
    <w:rsid w:val="00FA57E6"/>
    <w:rsid w:val="00FA57FC"/>
    <w:rsid w:val="00FB2379"/>
    <w:rsid w:val="00FB30E6"/>
    <w:rsid w:val="00FB3B43"/>
    <w:rsid w:val="00FC1BF8"/>
    <w:rsid w:val="00FD1893"/>
    <w:rsid w:val="00FD2A44"/>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3E35BC"/>
  <w15:docId w15:val="{628E4F33-1A65-44D1-90B8-3449EA93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08C9CBE1-4FA3-4C0B-9F1B-247425AD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171</Pages>
  <Words>29717</Words>
  <Characters>169392</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198712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23</cp:revision>
  <cp:lastPrinted>2017-10-13T19:17:00Z</cp:lastPrinted>
  <dcterms:created xsi:type="dcterms:W3CDTF">2018-07-03T18:18:00Z</dcterms:created>
  <dcterms:modified xsi:type="dcterms:W3CDTF">2018-08-16T20:37:00Z</dcterms:modified>
</cp:coreProperties>
</file>