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BATCH MANIFEST</w:t>
      </w:r>
    </w:p>
    <w:p>
      <w:pPr>
        <w:spacing w:after="120"/>
        <w:jc w:val="center"/>
      </w:pPr>
      <w:r>
        <w:rPr>
          <w:rFonts w:ascii="Arial" w:cs="Arial" w:eastAsia="Arial" w:hAnsi="Arial"/>
          <w:color w:val="2E74B5"/>
          <w:sz w:val="28"/>
          <w:szCs w:val="28"/>
        </w:rPr>
        <w:t xml:space="preserve">Axis-to-Relation Alignment</w:t>
      </w:r>
    </w:p>
    <w:p>
      <w:pPr>
        <w:spacing w:after="80"/>
        <w:jc w:val="center"/>
      </w:pPr>
      <w:r>
        <w:rPr>
          <w:rFonts w:ascii="Arial" w:cs="Arial" w:eastAsia="Arial" w:hAnsi="Arial"/>
          <w:i/>
          <w:iCs/>
          <w:color w:val="606060"/>
          <w:sz w:val="22"/>
          <w:szCs w:val="22"/>
        </w:rPr>
        <w:t xml:space="preserve">Aligning ICD-11 Post-Coordination Axes to Mondo / RO Relations</w:t>
      </w:r>
    </w:p>
    <w:p>
      <w:pPr>
        <w:spacing w:after="320"/>
        <w:jc w:val="center"/>
      </w:pPr>
      <w:r>
        <w:rPr>
          <w:rFonts w:ascii="Arial" w:cs="Arial" w:eastAsia="Arial" w:hAnsi="Arial"/>
          <w:i/>
          <w:iCs/>
          <w:color w:val="808080"/>
          <w:sz w:val="20"/>
          <w:szCs w:val="20"/>
        </w:rPr>
        <w:t xml:space="preserve">Sample Document — foundation-plus project</w:t>
      </w:r>
    </w:p>
    <w:p>
      <w:pPr>
        <w:pStyle w:val="Heading1"/>
        <w:spacing w:after="160" w:before="320"/>
      </w:pPr>
      <w:r>
        <w:rPr>
          <w:rFonts w:ascii="Arial" w:cs="Arial" w:eastAsia="Arial" w:hAnsi="Arial"/>
          <w:b/>
          <w:bCs/>
          <w:color w:val="1F3864"/>
          <w:sz w:val="28"/>
          <w:szCs w:val="28"/>
        </w:rPr>
        <w:t xml:space="preserve">1. Batch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icd:batchId</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2026-Q2-axis-align-01</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Batch type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Axis-to-relation alignment (§3.1 of Enrichment Playbook)</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icd:batchManifestHash</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sha256:a3f8c1d9e4b7...2f6a (computed at seal time)</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Foundation release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whofic-2025-05-24 (sha256:7c4e...)</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Mondo release</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mondo-2025-06-01 (sha256:b2d1...)</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RO release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ro-2025-04-15 (sha256:e9f3...)</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prov:generatedAtTime</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2026-04-28T14:32:00Z</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prov:wasAttributedTo</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Samson Tu (ORCID: 0000-0002-XXXX-XXXX), Batch Coordinator</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icd:generatedByPattern</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axis_alignment_v1</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icd:patternVersion</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1.0.0</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Lifecycle state</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submitted (2026-05-01)</w:t>
            </w:r>
          </w:p>
        </w:tc>
      </w:tr>
    </w:tbl>
    <w:p>
      <w:pPr>
        <w:pStyle w:val="Heading1"/>
        <w:spacing w:after="160" w:before="320"/>
      </w:pPr>
      <w:r>
        <w:rPr>
          <w:rFonts w:ascii="Arial" w:cs="Arial" w:eastAsia="Arial" w:hAnsi="Arial"/>
          <w:b/>
          <w:bCs/>
          <w:color w:val="1F3864"/>
          <w:sz w:val="28"/>
          <w:szCs w:val="28"/>
        </w:rPr>
        <w:t xml:space="preserve">2. Scope and Rationale</w:t>
      </w:r>
    </w:p>
    <w:p>
      <w:pPr>
        <w:spacing w:after="160"/>
      </w:pPr>
      <w:r>
        <w:rPr>
          <w:rFonts w:ascii="Arial" w:cs="Arial" w:eastAsia="Arial" w:hAnsi="Arial"/>
          <w:sz w:val="20"/>
          <w:szCs w:val="20"/>
        </w:rPr>
        <w:t xml:space="preserve">This batch proposes 12 property-level alignment axioms that declare each ICD-11 post-coordination axis property as equivalent to or a subproperty of its corresponding Relation Ontology (RO) relation. These alignments are the prerequisite for all subsequent content-import patterns (§3.2–§3.4 of the Enrichment Playbook), because they allow the ELK reasoner to treat a Foundation Logical Definition written with ICD axis vocabulary and a Mondo logical definition written with RO vocabulary as logically equivalent.</w:t>
      </w:r>
    </w:p>
    <w:p>
      <w:pPr>
        <w:spacing w:after="160"/>
      </w:pPr>
      <w:r>
        <w:rPr>
          <w:rFonts w:ascii="Arial" w:cs="Arial" w:eastAsia="Arial" w:hAnsi="Arial"/>
          <w:sz w:val="20"/>
          <w:szCs w:val="20"/>
        </w:rPr>
        <w:t xml:space="preserve">The 12 axes covered in this batch are: specificAnatomy, infectiousAgent, chemicalAgent, hasCausingCondition, hasManifestation, associatedWith, histopathology, severity, laterality, course, temporalPatternAndOnset, and timeInLife. Each alignment was curated manually by comparing the Content Model’s axis definition (§§3.5–3.11 of the Content Model Reference Guide v0.9) with the RO relation’s formal definition and usage in Mondo.</w:t>
      </w:r>
    </w:p>
    <w:p>
      <w:pPr>
        <w:pStyle w:val="Heading1"/>
        <w:spacing w:after="160" w:before="320"/>
      </w:pPr>
      <w:r>
        <w:rPr>
          <w:rFonts w:ascii="Arial" w:cs="Arial" w:eastAsia="Arial" w:hAnsi="Arial"/>
          <w:b/>
          <w:bCs/>
          <w:color w:val="1F3864"/>
          <w:sz w:val="28"/>
          <w:szCs w:val="28"/>
        </w:rPr>
        <w:t xml:space="preserve">3. Per-Artifact Process Provenance</w:t>
      </w:r>
    </w:p>
    <w:p>
      <w:pPr>
        <w:spacing w:after="160"/>
      </w:pPr>
      <w:r>
        <w:rPr>
          <w:rFonts w:ascii="Arial" w:cs="Arial" w:eastAsia="Arial" w:hAnsi="Arial"/>
          <w:sz w:val="20"/>
          <w:szCs w:val="20"/>
        </w:rPr>
        <w:t xml:space="preserve">Each row below describes one alignment axiom. The Foundation IRI column shows the ICD axis property; the RO IRI column shows the aligned RO relation. The axiom type column indicates EquivalentObjectProperties (EQ) or SubPropertyOf (SUB), reflecting the strength of the alignment. The icd:mappingJustification column records how the alignment was determined.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650"/>
        <w:gridCol w:w="2200"/>
        <w:gridCol w:w="2610"/>
      </w:tblGrid>
      <w:tr>
        <w:tc>
          <w:tcPr>
            <w:tcW w:type="dxa" w:w="2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ICD Axis Property</w:t>
            </w:r>
          </w:p>
        </w:tc>
        <w:tc>
          <w:tcPr>
            <w:tcW w:type="dxa" w:w="19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RO Relation</w:t>
            </w:r>
          </w:p>
        </w:tc>
        <w:tc>
          <w:tcPr>
            <w:tcW w:type="dxa" w:w="65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22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icd:mappingJustification</w:t>
            </w:r>
          </w:p>
        </w:tc>
        <w:tc>
          <w:tcPr>
            <w:tcW w:type="dxa" w:w="261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rdfs:comment (rationale)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icd:specificAnatomy</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RO:0004026
disease_has_location</w:t>
            </w:r>
          </w:p>
        </w:tc>
        <w:tc>
          <w:tcPr>
            <w:tcW w:type="dxa" w:w="6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EQ</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semapv:ManualMappingCuration</w:t>
            </w:r>
          </w:p>
        </w:tc>
        <w:tc>
          <w:tcPr>
            <w:tcW w:type="dxa" w:w="261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CM §3.5 defines specificAnatomy as the anatomical site of the disease. RO:0004026 is used identically in Mondo.</w:t>
            </w:r>
          </w:p>
        </w:tc>
      </w:tr>
      <w:tr>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icd:infectiousAgent</w:t>
            </w:r>
          </w:p>
        </w:tc>
        <w:tc>
          <w:tcPr>
            <w:tcW w:type="dxa" w:w="19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RO:0004019
has_material_basis_in</w:t>
            </w:r>
          </w:p>
        </w:tc>
        <w:tc>
          <w:tcPr>
            <w:tcW w:type="dxa" w:w="65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SUB</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semapv:ManualMappingCuration</w:t>
            </w:r>
          </w:p>
        </w:tc>
        <w:tc>
          <w:tcPr>
            <w:tcW w:type="dxa" w:w="261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CM §3.6: infectiousAgent is the causal organism. RO:0004019 is broader (any material basis). Subproperty, not equivalence.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icd:chemicalAgent</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RO:0004019
has_material_basis_in</w:t>
            </w:r>
          </w:p>
        </w:tc>
        <w:tc>
          <w:tcPr>
            <w:tcW w:type="dxa" w:w="6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SUB</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semapv:ManualMappingCuration</w:t>
            </w:r>
          </w:p>
        </w:tc>
        <w:tc>
          <w:tcPr>
            <w:tcW w:type="dxa" w:w="261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CM §3.6: chemicalAgent parallels infectiousAgent for chemical causes. Also a subproperty of has_material_basis_in.</w:t>
            </w:r>
          </w:p>
        </w:tc>
      </w:tr>
      <w:tr>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icd:hasCausingCondition</w:t>
            </w:r>
          </w:p>
        </w:tc>
        <w:tc>
          <w:tcPr>
            <w:tcW w:type="dxa" w:w="19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RO:0004001
has_material_basis_in (disease)</w:t>
            </w:r>
          </w:p>
        </w:tc>
        <w:tc>
          <w:tcPr>
            <w:tcW w:type="dxa" w:w="65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EQ</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semapv:ManualMappingCuration</w:t>
            </w:r>
          </w:p>
        </w:tc>
        <w:tc>
          <w:tcPr>
            <w:tcW w:type="dxa" w:w="261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CM §3.7: a Foundation entity whose cause is another disease entity. Maps directly to Mondo’s disease-to-disease causal relation.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icd:hasManifestation</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RO:0002452
has_symptom</w:t>
            </w:r>
          </w:p>
        </w:tc>
        <w:tc>
          <w:tcPr>
            <w:tcW w:type="dxa" w:w="6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SUB</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semapv:ManualMappingCuration</w:t>
            </w:r>
          </w:p>
        </w:tc>
        <w:tc>
          <w:tcPr>
            <w:tcW w:type="dxa" w:w="261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CM §3.7: hasManifestation links a disease to its clinical presentation. RO:0002452 is broader (any symptom). Subproperty relationship.</w:t>
            </w:r>
          </w:p>
        </w:tc>
      </w:tr>
      <w:tr>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icd:associatedWith</w:t>
            </w:r>
          </w:p>
        </w:tc>
        <w:tc>
          <w:tcPr>
            <w:tcW w:type="dxa" w:w="19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RO:0002610
correlated_with</w:t>
            </w:r>
          </w:p>
        </w:tc>
        <w:tc>
          <w:tcPr>
            <w:tcW w:type="dxa" w:w="65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SUB</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semapv:ManualMappingCuration</w:t>
            </w:r>
          </w:p>
        </w:tc>
        <w:tc>
          <w:tcPr>
            <w:tcW w:type="dxa" w:w="261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CM §3.7: associatedWith is a weak non-causal association. correlated_with is the closest RO relation; subproperty because CM usage is narrower.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icd:histopathology</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RO:0004027
has_quality (morphology)</w:t>
            </w:r>
          </w:p>
        </w:tc>
        <w:tc>
          <w:tcPr>
            <w:tcW w:type="dxa" w:w="6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SUB</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semapv:ManualMappingCuration</w:t>
            </w:r>
          </w:p>
        </w:tc>
        <w:tc>
          <w:tcPr>
            <w:tcW w:type="dxa" w:w="261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CM §3.5: histopathology is the morphological qualifier. Mondo uses has_quality with PATO/MPATH fillers. Subproperty because CM restricts to morphology.</w:t>
            </w:r>
          </w:p>
        </w:tc>
      </w:tr>
      <w:tr>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icd:severity</w:t>
            </w:r>
          </w:p>
        </w:tc>
        <w:tc>
          <w:tcPr>
            <w:tcW w:type="dxa" w:w="19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RO:0002573
has_severity</w:t>
            </w:r>
          </w:p>
        </w:tc>
        <w:tc>
          <w:tcPr>
            <w:tcW w:type="dxa" w:w="65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EQ</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semapv:ManualMappingCuration</w:t>
            </w:r>
          </w:p>
        </w:tc>
        <w:tc>
          <w:tcPr>
            <w:tcW w:type="dxa" w:w="261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CM §3.11: severity scale. RO:0002573 has_severity used in Mondo with PATO severity values. Direct equivalence.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icd:laterality</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PATO:0000614
laterality_qualifier</w:t>
            </w:r>
          </w:p>
        </w:tc>
        <w:tc>
          <w:tcPr>
            <w:tcW w:type="dxa" w:w="6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EQ</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semapv:ManualMappingCuration</w:t>
            </w:r>
          </w:p>
        </w:tc>
        <w:tc>
          <w:tcPr>
            <w:tcW w:type="dxa" w:w="261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CM §3.11: laterality (left/right/bilateral). PATO laterality qualifier. Direct equivalence.</w:t>
            </w:r>
          </w:p>
        </w:tc>
      </w:tr>
      <w:tr>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icd:course</w:t>
            </w:r>
          </w:p>
        </w:tc>
        <w:tc>
          <w:tcPr>
            <w:tcW w:type="dxa" w:w="19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RO:0002488
has_duration</w:t>
            </w:r>
          </w:p>
        </w:tc>
        <w:tc>
          <w:tcPr>
            <w:tcW w:type="dxa" w:w="65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SUB</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semapv:ManualMappingCuration</w:t>
            </w:r>
          </w:p>
        </w:tc>
        <w:tc>
          <w:tcPr>
            <w:tcW w:type="dxa" w:w="261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CM §3.11: course (acute/chronic/subacute). RO:0002488 is temporal duration; ICD course is narrower. Subproperty.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icd:temporalPatternAndOnset</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RO:0002488
has_duration</w:t>
            </w:r>
          </w:p>
        </w:tc>
        <w:tc>
          <w:tcPr>
            <w:tcW w:type="dxa" w:w="6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SUB</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semapv:ManualMappingCuration</w:t>
            </w:r>
          </w:p>
        </w:tc>
        <w:tc>
          <w:tcPr>
            <w:tcW w:type="dxa" w:w="261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CM §3.11: temporal onset pattern. Overlaps with course via RO:0002488 but focuses on onset timing. Subproperty.</w:t>
            </w:r>
          </w:p>
        </w:tc>
      </w:tr>
      <w:tr>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icd:timeInLife</w:t>
            </w:r>
          </w:p>
        </w:tc>
        <w:tc>
          <w:tcPr>
            <w:tcW w:type="dxa" w:w="19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RO:0002490
existence_overlaps</w:t>
            </w:r>
          </w:p>
        </w:tc>
        <w:tc>
          <w:tcPr>
            <w:tcW w:type="dxa" w:w="65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SUB</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semapv:ManualMappingCuration</w:t>
            </w:r>
          </w:p>
        </w:tc>
        <w:tc>
          <w:tcPr>
            <w:tcW w:type="dxa" w:w="261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CM §3.11: life stage (neonatal, childhood, etc.). Nearest RO relation is temporal overlap with a life stage. Subproperty.</w:t>
            </w:r>
          </w:p>
        </w:tc>
      </w:tr>
    </w:tbl>
    <w:p>
      <w:r>
        <w:br w:type="page"/>
      </w:r>
    </w:p>
    <w:p>
      <w:pPr>
        <w:pStyle w:val="Heading1"/>
        <w:spacing w:after="160" w:before="320"/>
      </w:pPr>
      <w:r>
        <w:rPr>
          <w:rFonts w:ascii="Arial" w:cs="Arial" w:eastAsia="Arial" w:hAnsi="Arial"/>
          <w:b/>
          <w:bCs/>
          <w:color w:val="1F3864"/>
          <w:sz w:val="28"/>
          <w:szCs w:val="28"/>
        </w:rPr>
        <w:t xml:space="preserve">4. Foundation-Side Source Provenance (Reference)</w:t>
      </w:r>
    </w:p>
    <w:p>
      <w:pPr>
        <w:spacing w:after="160"/>
      </w:pPr>
      <w:r>
        <w:rPr>
          <w:rFonts w:ascii="Arial" w:cs="Arial" w:eastAsia="Arial" w:hAnsi="Arial"/>
          <w:sz w:val="20"/>
          <w:szCs w:val="20"/>
        </w:rPr>
        <w:t xml:space="preserve">For each alignment axiom posted to the Foundation via iCAT, the following source provenance annotations are attached directly to the OWL property axiom (via Annotation-on-Axiom). These are NOT stored in this manifest — they live on the Foundation — but are reproduced here for cross-reference and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300"/>
        <w:gridCol w:w="1400"/>
        <w:gridCol w:w="1360"/>
        <w:gridCol w:w="1800"/>
      </w:tblGrid>
      <w:tr>
        <w:tc>
          <w:tcPr>
            <w:tcW w:type="dxa" w:w="18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ICD Axis</w:t>
            </w:r>
          </w:p>
        </w:tc>
        <w:tc>
          <w:tcPr>
            <w:tcW w:type="dxa" w:w="17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prov:wasDerivedFrom</w:t>
            </w:r>
          </w:p>
        </w:tc>
        <w:tc>
          <w:tcPr>
            <w:tcW w:type="dxa" w:w="13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dct:license</w:t>
            </w:r>
          </w:p>
        </w:tc>
        <w:tc>
          <w:tcPr>
            <w:tcW w:type="dxa" w:w="14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dct:rightsHolder</w:t>
            </w:r>
          </w:p>
        </w:tc>
        <w:tc>
          <w:tcPr>
            <w:tcW w:type="dxa" w:w="13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dct:source</w:t>
            </w:r>
          </w:p>
        </w:tc>
        <w:tc>
          <w:tcPr>
            <w:tcW w:type="dxa" w:w="18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icd:batchId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icd:specificAnatomy</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RO:0004026</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CC-BY 4.0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OBO Foundry</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purl.obolibrary.org/obo/RO_0004026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2026-Q2-axis-align-01</w:t>
            </w:r>
          </w:p>
        </w:tc>
      </w:tr>
      <w:tr>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icd:infectiousAgent</w:t>
            </w:r>
          </w:p>
        </w:tc>
        <w:tc>
          <w:tcPr>
            <w:tcW w:type="dxa" w:w="17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RO:0004019</w:t>
            </w:r>
          </w:p>
        </w:tc>
        <w:tc>
          <w:tcPr>
            <w:tcW w:type="dxa" w:w="13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CC-BY 4.0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OBO Foundry</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purl.obolibrary.org/obo/RO_0004019</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2026-Q2-axis-align-01</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icd:chemicalAgent</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RO:0004019</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CC-BY 4.0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OBO Foundry</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purl.obolibrary.org/obo/RO_0004019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2026-Q2-axis-align-01</w:t>
            </w:r>
          </w:p>
        </w:tc>
      </w:tr>
      <w:tr>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icd:hasCausingCondition</w:t>
            </w:r>
          </w:p>
        </w:tc>
        <w:tc>
          <w:tcPr>
            <w:tcW w:type="dxa" w:w="17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RO:0004001</w:t>
            </w:r>
          </w:p>
        </w:tc>
        <w:tc>
          <w:tcPr>
            <w:tcW w:type="dxa" w:w="13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CC-BY 4.0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OBO Foundry</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purl.obolibrary.org/obo/RO_0004001</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2026-Q2-axis-align-01</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icd:hasManifestation</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RO:0002452</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CC-BY 4.0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OBO Foundry</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purl.obolibrary.org/obo/RO_0002452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2026-Q2-axis-align-01</w:t>
            </w:r>
          </w:p>
        </w:tc>
      </w:tr>
      <w:tr>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icd:severity</w:t>
            </w:r>
          </w:p>
        </w:tc>
        <w:tc>
          <w:tcPr>
            <w:tcW w:type="dxa" w:w="17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RO:0002573</w:t>
            </w:r>
          </w:p>
        </w:tc>
        <w:tc>
          <w:tcPr>
            <w:tcW w:type="dxa" w:w="13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CC-BY 4.0</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OBO Foundry</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purl.obolibrary.org/obo/RO_0002573</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2026-Q2-axis-align-01</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icd:laterality</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PATO:0000614</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CC-BY 4.0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OBO Foundry</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purl.obolibrary.org/obo/PATO_0000614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2026-Q2-axis-align-01</w:t>
            </w:r>
          </w:p>
        </w:tc>
      </w:tr>
    </w:tbl>
    <w:p>
      <w:pPr>
        <w:spacing w:after="160"/>
      </w:pPr>
      <w:r>
        <w:rPr>
          <w:rFonts w:ascii="Arial" w:cs="Arial" w:eastAsia="Arial" w:hAnsi="Arial"/>
          <w:sz w:val="20"/>
          <w:szCs w:val="20"/>
        </w:rPr>
        <w:t xml:space="preserve">(Remaining 5 alignments omitted for brevity; all source RO/PATO, all CC-BY 4.0, all OBO Foundry.)</w:t>
      </w:r>
    </w:p>
    <w:p>
      <w:pPr>
        <w:pStyle w:val="Heading1"/>
        <w:spacing w:after="160" w:before="320"/>
      </w:pPr>
      <w:r>
        <w:rPr>
          <w:rFonts w:ascii="Arial" w:cs="Arial" w:eastAsia="Arial" w:hAnsi="Arial"/>
          <w:b/>
          <w:bCs/>
          <w:color w:val="1F3864"/>
          <w:sz w:val="28"/>
          <w:szCs w:val="28"/>
        </w:rPr>
        <w:t xml:space="preserve">5. Generated OWL Axioms</w:t>
      </w:r>
    </w:p>
    <w:p>
      <w:pPr>
        <w:spacing w:after="160"/>
      </w:pPr>
      <w:r>
        <w:rPr>
          <w:rFonts w:ascii="Arial" w:cs="Arial" w:eastAsia="Arial" w:hAnsi="Arial"/>
          <w:sz w:val="20"/>
          <w:szCs w:val="20"/>
        </w:rPr>
        <w:t xml:space="preserve">The following OWL Functional Syntax axioms are emitted by this batch and submitted to the Foundation. Source provenance annotations (shown) travel with the axioms; process provenance (not shown) is in §3 above.</w:t>
      </w:r>
    </w:p>
    <w:p>
      <w:pPr>
        <w:pStyle w:val="Heading2"/>
        <w:spacing w:after="120" w:before="260"/>
      </w:pPr>
      <w:r>
        <w:rPr>
          <w:rFonts w:ascii="Arial" w:cs="Arial" w:eastAsia="Arial" w:hAnsi="Arial"/>
          <w:b/>
          <w:bCs/>
          <w:color w:val="2E74B5"/>
          <w:sz w:val="24"/>
          <w:szCs w:val="24"/>
        </w:rPr>
        <w:t xml:space="preserve">5.1 EquivalentObjectProperties axioms</w:t>
      </w:r>
    </w:p>
    <w:p>
      <w:pPr>
        <w:shd w:fill="F5F5F5" w:val="clear"/>
        <w:spacing w:after="160"/>
        <w:ind w:left="360" w:right="360"/>
      </w:pPr>
      <w:r>
        <w:rPr>
          <w:rFonts w:ascii="Courier New" w:cs="Courier New" w:eastAsia="Courier New" w:hAnsi="Courier New"/>
          <w:sz w:val="16"/>
          <w:szCs w:val="16"/>
        </w:rPr>
        <w:t xml:space="preserve"># Axiom 1: specificAnatomy ≡ disease_has_location</w:t>
      </w:r>
      <w:r>
        <w:br/>
      </w:r>
      <w:r>
        <w:rPr>
          <w:rFonts w:ascii="Courier New" w:cs="Courier New" w:eastAsia="Courier New" w:hAnsi="Courier New"/>
          <w:sz w:val="16"/>
          <w:szCs w:val="16"/>
        </w:rPr>
        <w:t xml:space="preserve">EquivalentObjectProperties(</w:t>
      </w:r>
      <w:r>
        <w:br/>
      </w:r>
      <w:r>
        <w:rPr>
          <w:rFonts w:ascii="Courier New" w:cs="Courier New" w:eastAsia="Courier New" w:hAnsi="Courier New"/>
          <w:sz w:val="16"/>
          <w:szCs w:val="16"/>
        </w:rPr>
        <w:t xml:space="preserve">  Annotation(prov:wasDerivedFrom &lt;http://purl.obolibrary.org/obo/RO_0004026&gt;)</w:t>
      </w:r>
      <w:r>
        <w:br/>
      </w:r>
      <w:r>
        <w:rPr>
          <w:rFonts w:ascii="Courier New" w:cs="Courier New" w:eastAsia="Courier New" w:hAnsi="Courier New"/>
          <w:sz w:val="16"/>
          <w:szCs w:val="16"/>
        </w:rPr>
        <w:t xml:space="preserve">  Annotation(dct:license &lt;https://creativecommons.org/licenses/by/4.0/&gt;)</w:t>
      </w:r>
      <w:r>
        <w:br/>
      </w:r>
      <w:r>
        <w:rPr>
          <w:rFonts w:ascii="Courier New" w:cs="Courier New" w:eastAsia="Courier New" w:hAnsi="Courier New"/>
          <w:sz w:val="16"/>
          <w:szCs w:val="16"/>
        </w:rPr>
        <w:t xml:space="preserve">  Annotation(dct:rightsHolder "OBO Foundry")</w:t>
      </w:r>
      <w:r>
        <w:br/>
      </w:r>
      <w:r>
        <w:rPr>
          <w:rFonts w:ascii="Courier New" w:cs="Courier New" w:eastAsia="Courier New" w:hAnsi="Courier New"/>
          <w:sz w:val="16"/>
          <w:szCs w:val="16"/>
        </w:rPr>
        <w:t xml:space="preserve">  Annotation(icd:batchId "2026-Q2-axis-align-01")</w:t>
      </w:r>
      <w:r>
        <w:br/>
      </w:r>
      <w:r>
        <w:rPr>
          <w:rFonts w:ascii="Courier New" w:cs="Courier New" w:eastAsia="Courier New" w:hAnsi="Courier New"/>
          <w:sz w:val="16"/>
          <w:szCs w:val="16"/>
        </w:rPr>
        <w:t xml:space="preserve">  Annotation(icd:batchManifestHash "sha256:a3f8c1d9e4b7...2f6a")</w:t>
      </w:r>
      <w:r>
        <w:br/>
      </w:r>
      <w:r>
        <w:rPr>
          <w:rFonts w:ascii="Courier New" w:cs="Courier New" w:eastAsia="Courier New" w:hAnsi="Courier New"/>
          <w:sz w:val="16"/>
          <w:szCs w:val="16"/>
        </w:rPr>
        <w:t xml:space="preserve">  &lt;http://id.who.int/icd/schema/specificAnatomy&gt;</w:t>
      </w:r>
      <w:r>
        <w:br/>
      </w:r>
      <w:r>
        <w:rPr>
          <w:rFonts w:ascii="Courier New" w:cs="Courier New" w:eastAsia="Courier New" w:hAnsi="Courier New"/>
          <w:sz w:val="16"/>
          <w:szCs w:val="16"/>
        </w:rPr>
        <w:t xml:space="preserve">  &lt;http://purl.obolibrary.org/obo/RO_0004026&gt;</w:t>
      </w:r>
      <w:r>
        <w:br/>
      </w:r>
      <w:r>
        <w:rPr>
          <w:rFonts w:ascii="Courier New" w:cs="Courier New" w:eastAsia="Courier New" w:hAnsi="Courier New"/>
          <w:sz w:val="16"/>
          <w:szCs w:val="16"/>
        </w:rPr>
        <w:t xml:space="preserve">)</w:t>
      </w:r>
    </w:p>
    <w:p>
      <w:pPr>
        <w:shd w:fill="F5F5F5" w:val="clear"/>
        <w:spacing w:after="160"/>
        <w:ind w:left="360" w:right="360"/>
      </w:pPr>
      <w:r>
        <w:rPr>
          <w:rFonts w:ascii="Courier New" w:cs="Courier New" w:eastAsia="Courier New" w:hAnsi="Courier New"/>
          <w:sz w:val="16"/>
          <w:szCs w:val="16"/>
        </w:rPr>
        <w:t xml:space="preserve"># Axiom 4: hasCausingCondition ≡ has_material_basis_in (disease causal)</w:t>
      </w:r>
      <w:r>
        <w:br/>
      </w:r>
      <w:r>
        <w:rPr>
          <w:rFonts w:ascii="Courier New" w:cs="Courier New" w:eastAsia="Courier New" w:hAnsi="Courier New"/>
          <w:sz w:val="16"/>
          <w:szCs w:val="16"/>
        </w:rPr>
        <w:t xml:space="preserve">EquivalentObjectProperties(</w:t>
      </w:r>
      <w:r>
        <w:br/>
      </w:r>
      <w:r>
        <w:rPr>
          <w:rFonts w:ascii="Courier New" w:cs="Courier New" w:eastAsia="Courier New" w:hAnsi="Courier New"/>
          <w:sz w:val="16"/>
          <w:szCs w:val="16"/>
        </w:rPr>
        <w:t xml:space="preserve">  Annotation(prov:wasDerivedFrom &lt;http://purl.obolibrary.org/obo/RO_0004001&gt;)</w:t>
      </w:r>
      <w:r>
        <w:br/>
      </w:r>
      <w:r>
        <w:rPr>
          <w:rFonts w:ascii="Courier New" w:cs="Courier New" w:eastAsia="Courier New" w:hAnsi="Courier New"/>
          <w:sz w:val="16"/>
          <w:szCs w:val="16"/>
        </w:rPr>
        <w:t xml:space="preserve">  Annotation(dct:license &lt;https://creativecommons.org/licenses/by/4.0/&gt;)</w:t>
      </w:r>
      <w:r>
        <w:br/>
      </w:r>
      <w:r>
        <w:rPr>
          <w:rFonts w:ascii="Courier New" w:cs="Courier New" w:eastAsia="Courier New" w:hAnsi="Courier New"/>
          <w:sz w:val="16"/>
          <w:szCs w:val="16"/>
        </w:rPr>
        <w:t xml:space="preserve">  Annotation(dct:rightsHolder "OBO Foundry")</w:t>
      </w:r>
      <w:r>
        <w:br/>
      </w:r>
      <w:r>
        <w:rPr>
          <w:rFonts w:ascii="Courier New" w:cs="Courier New" w:eastAsia="Courier New" w:hAnsi="Courier New"/>
          <w:sz w:val="16"/>
          <w:szCs w:val="16"/>
        </w:rPr>
        <w:t xml:space="preserve">  Annotation(icd:batchId "2026-Q2-axis-align-01")</w:t>
      </w:r>
      <w:r>
        <w:br/>
      </w:r>
      <w:r>
        <w:rPr>
          <w:rFonts w:ascii="Courier New" w:cs="Courier New" w:eastAsia="Courier New" w:hAnsi="Courier New"/>
          <w:sz w:val="16"/>
          <w:szCs w:val="16"/>
        </w:rPr>
        <w:t xml:space="preserve">  Annotation(icd:batchManifestHash "sha256:a3f8c1d9e4b7...2f6a")</w:t>
      </w:r>
      <w:r>
        <w:br/>
      </w:r>
      <w:r>
        <w:rPr>
          <w:rFonts w:ascii="Courier New" w:cs="Courier New" w:eastAsia="Courier New" w:hAnsi="Courier New"/>
          <w:sz w:val="16"/>
          <w:szCs w:val="16"/>
        </w:rPr>
        <w:t xml:space="preserve">  &lt;http://id.who.int/icd/schema/hasCausingCondition&gt;</w:t>
      </w:r>
      <w:r>
        <w:br/>
      </w:r>
      <w:r>
        <w:rPr>
          <w:rFonts w:ascii="Courier New" w:cs="Courier New" w:eastAsia="Courier New" w:hAnsi="Courier New"/>
          <w:sz w:val="16"/>
          <w:szCs w:val="16"/>
        </w:rPr>
        <w:t xml:space="preserve">  &lt;http://purl.obolibrary.org/obo/RO_0004001&gt;</w:t>
      </w:r>
      <w:r>
        <w:br/>
      </w:r>
      <w:r>
        <w:rPr>
          <w:rFonts w:ascii="Courier New" w:cs="Courier New" w:eastAsia="Courier New" w:hAnsi="Courier New"/>
          <w:sz w:val="16"/>
          <w:szCs w:val="16"/>
        </w:rPr>
        <w:t xml:space="preserve">)</w:t>
      </w:r>
    </w:p>
    <w:p>
      <w:pPr>
        <w:shd w:fill="F5F5F5" w:val="clear"/>
        <w:spacing w:after="160"/>
        <w:ind w:left="360" w:right="360"/>
      </w:pPr>
      <w:r>
        <w:rPr>
          <w:rFonts w:ascii="Courier New" w:cs="Courier New" w:eastAsia="Courier New" w:hAnsi="Courier New"/>
          <w:sz w:val="16"/>
          <w:szCs w:val="16"/>
        </w:rPr>
        <w:t xml:space="preserve"># Axiom 8: severity ≡ has_severity</w:t>
      </w:r>
      <w:r>
        <w:br/>
      </w:r>
      <w:r>
        <w:rPr>
          <w:rFonts w:ascii="Courier New" w:cs="Courier New" w:eastAsia="Courier New" w:hAnsi="Courier New"/>
          <w:sz w:val="16"/>
          <w:szCs w:val="16"/>
        </w:rPr>
        <w:t xml:space="preserve">EquivalentObjectProperties(</w:t>
      </w:r>
      <w:r>
        <w:br/>
      </w:r>
      <w:r>
        <w:rPr>
          <w:rFonts w:ascii="Courier New" w:cs="Courier New" w:eastAsia="Courier New" w:hAnsi="Courier New"/>
          <w:sz w:val="16"/>
          <w:szCs w:val="16"/>
        </w:rPr>
        <w:t xml:space="preserve">  Annotation(prov:wasDerivedFrom &lt;http://purl.obolibrary.org/obo/RO_0002573&gt;)</w:t>
      </w:r>
      <w:r>
        <w:br/>
      </w:r>
      <w:r>
        <w:rPr>
          <w:rFonts w:ascii="Courier New" w:cs="Courier New" w:eastAsia="Courier New" w:hAnsi="Courier New"/>
          <w:sz w:val="16"/>
          <w:szCs w:val="16"/>
        </w:rPr>
        <w:t xml:space="preserve">  Annotation(dct:license &lt;https://creativecommons.org/licenses/by/4.0/&gt;)</w:t>
      </w:r>
      <w:r>
        <w:br/>
      </w:r>
      <w:r>
        <w:rPr>
          <w:rFonts w:ascii="Courier New" w:cs="Courier New" w:eastAsia="Courier New" w:hAnsi="Courier New"/>
          <w:sz w:val="16"/>
          <w:szCs w:val="16"/>
        </w:rPr>
        <w:t xml:space="preserve">  Annotation(dct:rightsHolder "OBO Foundry")</w:t>
      </w:r>
      <w:r>
        <w:br/>
      </w:r>
      <w:r>
        <w:rPr>
          <w:rFonts w:ascii="Courier New" w:cs="Courier New" w:eastAsia="Courier New" w:hAnsi="Courier New"/>
          <w:sz w:val="16"/>
          <w:szCs w:val="16"/>
        </w:rPr>
        <w:t xml:space="preserve">  Annotation(icd:batchId "2026-Q2-axis-align-01")</w:t>
      </w:r>
      <w:r>
        <w:br/>
      </w:r>
      <w:r>
        <w:rPr>
          <w:rFonts w:ascii="Courier New" w:cs="Courier New" w:eastAsia="Courier New" w:hAnsi="Courier New"/>
          <w:sz w:val="16"/>
          <w:szCs w:val="16"/>
        </w:rPr>
        <w:t xml:space="preserve">  Annotation(icd:batchManifestHash "sha256:a3f8c1d9e4b7...2f6a")</w:t>
      </w:r>
      <w:r>
        <w:br/>
      </w:r>
      <w:r>
        <w:rPr>
          <w:rFonts w:ascii="Courier New" w:cs="Courier New" w:eastAsia="Courier New" w:hAnsi="Courier New"/>
          <w:sz w:val="16"/>
          <w:szCs w:val="16"/>
        </w:rPr>
        <w:t xml:space="preserve">  &lt;http://id.who.int/icd/schema/severity&gt;</w:t>
      </w:r>
      <w:r>
        <w:br/>
      </w:r>
      <w:r>
        <w:rPr>
          <w:rFonts w:ascii="Courier New" w:cs="Courier New" w:eastAsia="Courier New" w:hAnsi="Courier New"/>
          <w:sz w:val="16"/>
          <w:szCs w:val="16"/>
        </w:rPr>
        <w:t xml:space="preserve">  &lt;http://purl.obolibrary.org/obo/RO_0002573&gt;</w:t>
      </w:r>
      <w:r>
        <w:br/>
      </w:r>
      <w:r>
        <w:rPr>
          <w:rFonts w:ascii="Courier New" w:cs="Courier New" w:eastAsia="Courier New" w:hAnsi="Courier New"/>
          <w:sz w:val="16"/>
          <w:szCs w:val="16"/>
        </w:rPr>
        <w:t xml:space="preserve">)</w:t>
      </w:r>
    </w:p>
    <w:p>
      <w:pPr>
        <w:pStyle w:val="Heading2"/>
        <w:spacing w:after="120" w:before="260"/>
      </w:pPr>
      <w:r>
        <w:rPr>
          <w:rFonts w:ascii="Arial" w:cs="Arial" w:eastAsia="Arial" w:hAnsi="Arial"/>
          <w:b/>
          <w:bCs/>
          <w:color w:val="2E74B5"/>
          <w:sz w:val="24"/>
          <w:szCs w:val="24"/>
        </w:rPr>
        <w:t xml:space="preserve">5.2 SubPropertyOf axioms</w:t>
      </w:r>
    </w:p>
    <w:p>
      <w:pPr>
        <w:shd w:fill="F5F5F5" w:val="clear"/>
        <w:spacing w:after="160"/>
        <w:ind w:left="360" w:right="360"/>
      </w:pPr>
      <w:r>
        <w:rPr>
          <w:rFonts w:ascii="Courier New" w:cs="Courier New" w:eastAsia="Courier New" w:hAnsi="Courier New"/>
          <w:sz w:val="16"/>
          <w:szCs w:val="16"/>
        </w:rPr>
        <w:t xml:space="preserve"># Axiom 2: infectiousAgent ⊆ has_material_basis_in</w:t>
      </w:r>
      <w:r>
        <w:br/>
      </w:r>
      <w:r>
        <w:rPr>
          <w:rFonts w:ascii="Courier New" w:cs="Courier New" w:eastAsia="Courier New" w:hAnsi="Courier New"/>
          <w:sz w:val="16"/>
          <w:szCs w:val="16"/>
        </w:rPr>
        <w:t xml:space="preserve">SubObjectPropertyOf(</w:t>
      </w:r>
      <w:r>
        <w:br/>
      </w:r>
      <w:r>
        <w:rPr>
          <w:rFonts w:ascii="Courier New" w:cs="Courier New" w:eastAsia="Courier New" w:hAnsi="Courier New"/>
          <w:sz w:val="16"/>
          <w:szCs w:val="16"/>
        </w:rPr>
        <w:t xml:space="preserve">  Annotation(prov:wasDerivedFrom &lt;http://purl.obolibrary.org/obo/RO_0004019&gt;)</w:t>
      </w:r>
      <w:r>
        <w:br/>
      </w:r>
      <w:r>
        <w:rPr>
          <w:rFonts w:ascii="Courier New" w:cs="Courier New" w:eastAsia="Courier New" w:hAnsi="Courier New"/>
          <w:sz w:val="16"/>
          <w:szCs w:val="16"/>
        </w:rPr>
        <w:t xml:space="preserve">  Annotation(dct:license &lt;https://creativecommons.org/licenses/by/4.0/&gt;)</w:t>
      </w:r>
      <w:r>
        <w:br/>
      </w:r>
      <w:r>
        <w:rPr>
          <w:rFonts w:ascii="Courier New" w:cs="Courier New" w:eastAsia="Courier New" w:hAnsi="Courier New"/>
          <w:sz w:val="16"/>
          <w:szCs w:val="16"/>
        </w:rPr>
        <w:t xml:space="preserve">  Annotation(dct:rightsHolder "OBO Foundry")</w:t>
      </w:r>
      <w:r>
        <w:br/>
      </w:r>
      <w:r>
        <w:rPr>
          <w:rFonts w:ascii="Courier New" w:cs="Courier New" w:eastAsia="Courier New" w:hAnsi="Courier New"/>
          <w:sz w:val="16"/>
          <w:szCs w:val="16"/>
        </w:rPr>
        <w:t xml:space="preserve">  Annotation(icd:batchId "2026-Q2-axis-align-01")</w:t>
      </w:r>
      <w:r>
        <w:br/>
      </w:r>
      <w:r>
        <w:rPr>
          <w:rFonts w:ascii="Courier New" w:cs="Courier New" w:eastAsia="Courier New" w:hAnsi="Courier New"/>
          <w:sz w:val="16"/>
          <w:szCs w:val="16"/>
        </w:rPr>
        <w:t xml:space="preserve">  Annotation(icd:batchManifestHash "sha256:a3f8c1d9e4b7...2f6a")</w:t>
      </w:r>
      <w:r>
        <w:br/>
      </w:r>
      <w:r>
        <w:rPr>
          <w:rFonts w:ascii="Courier New" w:cs="Courier New" w:eastAsia="Courier New" w:hAnsi="Courier New"/>
          <w:sz w:val="16"/>
          <w:szCs w:val="16"/>
        </w:rPr>
        <w:t xml:space="preserve">  &lt;http://id.who.int/icd/schema/infectiousAgent&gt;</w:t>
      </w:r>
      <w:r>
        <w:br/>
      </w:r>
      <w:r>
        <w:rPr>
          <w:rFonts w:ascii="Courier New" w:cs="Courier New" w:eastAsia="Courier New" w:hAnsi="Courier New"/>
          <w:sz w:val="16"/>
          <w:szCs w:val="16"/>
        </w:rPr>
        <w:t xml:space="preserve">  &lt;http://purl.obolibrary.org/obo/RO_0004019&gt;</w:t>
      </w:r>
      <w:r>
        <w:br/>
      </w:r>
      <w:r>
        <w:rPr>
          <w:rFonts w:ascii="Courier New" w:cs="Courier New" w:eastAsia="Courier New" w:hAnsi="Courier New"/>
          <w:sz w:val="16"/>
          <w:szCs w:val="16"/>
        </w:rPr>
        <w:t xml:space="preserve">)</w:t>
      </w:r>
    </w:p>
    <w:p>
      <w:pPr>
        <w:shd w:fill="F5F5F5" w:val="clear"/>
        <w:spacing w:after="160"/>
        <w:ind w:left="360" w:right="360"/>
      </w:pPr>
      <w:r>
        <w:rPr>
          <w:rFonts w:ascii="Courier New" w:cs="Courier New" w:eastAsia="Courier New" w:hAnsi="Courier New"/>
          <w:sz w:val="16"/>
          <w:szCs w:val="16"/>
        </w:rPr>
        <w:t xml:space="preserve"># Axiom 5: hasManifestation ⊆ has_symptom</w:t>
      </w:r>
      <w:r>
        <w:br/>
      </w:r>
      <w:r>
        <w:rPr>
          <w:rFonts w:ascii="Courier New" w:cs="Courier New" w:eastAsia="Courier New" w:hAnsi="Courier New"/>
          <w:sz w:val="16"/>
          <w:szCs w:val="16"/>
        </w:rPr>
        <w:t xml:space="preserve">SubObjectPropertyOf(</w:t>
      </w:r>
      <w:r>
        <w:br/>
      </w:r>
      <w:r>
        <w:rPr>
          <w:rFonts w:ascii="Courier New" w:cs="Courier New" w:eastAsia="Courier New" w:hAnsi="Courier New"/>
          <w:sz w:val="16"/>
          <w:szCs w:val="16"/>
        </w:rPr>
        <w:t xml:space="preserve">  Annotation(prov:wasDerivedFrom &lt;http://purl.obolibrary.org/obo/RO_0002452&gt;)</w:t>
      </w:r>
      <w:r>
        <w:br/>
      </w:r>
      <w:r>
        <w:rPr>
          <w:rFonts w:ascii="Courier New" w:cs="Courier New" w:eastAsia="Courier New" w:hAnsi="Courier New"/>
          <w:sz w:val="16"/>
          <w:szCs w:val="16"/>
        </w:rPr>
        <w:t xml:space="preserve">  Annotation(dct:license &lt;https://creativecommons.org/licenses/by/4.0/&gt;)</w:t>
      </w:r>
      <w:r>
        <w:br/>
      </w:r>
      <w:r>
        <w:rPr>
          <w:rFonts w:ascii="Courier New" w:cs="Courier New" w:eastAsia="Courier New" w:hAnsi="Courier New"/>
          <w:sz w:val="16"/>
          <w:szCs w:val="16"/>
        </w:rPr>
        <w:t xml:space="preserve">  Annotation(dct:rightsHolder "OBO Foundry")</w:t>
      </w:r>
      <w:r>
        <w:br/>
      </w:r>
      <w:r>
        <w:rPr>
          <w:rFonts w:ascii="Courier New" w:cs="Courier New" w:eastAsia="Courier New" w:hAnsi="Courier New"/>
          <w:sz w:val="16"/>
          <w:szCs w:val="16"/>
        </w:rPr>
        <w:t xml:space="preserve">  Annotation(icd:batchId "2026-Q2-axis-align-01")</w:t>
      </w:r>
      <w:r>
        <w:br/>
      </w:r>
      <w:r>
        <w:rPr>
          <w:rFonts w:ascii="Courier New" w:cs="Courier New" w:eastAsia="Courier New" w:hAnsi="Courier New"/>
          <w:sz w:val="16"/>
          <w:szCs w:val="16"/>
        </w:rPr>
        <w:t xml:space="preserve">  Annotation(icd:batchManifestHash "sha256:a3f8c1d9e4b7...2f6a")</w:t>
      </w:r>
      <w:r>
        <w:br/>
      </w:r>
      <w:r>
        <w:rPr>
          <w:rFonts w:ascii="Courier New" w:cs="Courier New" w:eastAsia="Courier New" w:hAnsi="Courier New"/>
          <w:sz w:val="16"/>
          <w:szCs w:val="16"/>
        </w:rPr>
        <w:t xml:space="preserve">  &lt;http://id.who.int/icd/schema/hasManifestation&gt;</w:t>
      </w:r>
      <w:r>
        <w:br/>
      </w:r>
      <w:r>
        <w:rPr>
          <w:rFonts w:ascii="Courier New" w:cs="Courier New" w:eastAsia="Courier New" w:hAnsi="Courier New"/>
          <w:sz w:val="16"/>
          <w:szCs w:val="16"/>
        </w:rPr>
        <w:t xml:space="preserve">  &lt;http://purl.obolibrary.org/obo/RO_0002452&gt;</w:t>
      </w:r>
      <w:r>
        <w:br/>
      </w:r>
      <w:r>
        <w:rPr>
          <w:rFonts w:ascii="Courier New" w:cs="Courier New" w:eastAsia="Courier New" w:hAnsi="Courier New"/>
          <w:sz w:val="16"/>
          <w:szCs w:val="16"/>
        </w:rPr>
        <w:t xml:space="preserve">)</w:t>
      </w:r>
    </w:p>
    <w:p>
      <w:pPr>
        <w:spacing w:after="160"/>
      </w:pPr>
      <w:r>
        <w:rPr>
          <w:rFonts w:ascii="Arial" w:cs="Arial" w:eastAsia="Arial" w:hAnsi="Arial"/>
          <w:sz w:val="20"/>
          <w:szCs w:val="20"/>
        </w:rPr>
        <w:t xml:space="preserve">(Remaining 7 axioms follow the same structure; 4 EquivalentObjectProperties, 8 SubObjectPropertyOf total.)</w:t>
      </w:r>
    </w:p>
    <w:p>
      <w:r>
        <w:br w:type="page"/>
      </w:r>
    </w:p>
    <w:p>
      <w:pPr>
        <w:pStyle w:val="Heading1"/>
        <w:spacing w:after="160" w:before="320"/>
      </w:pPr>
      <w:r>
        <w:rPr>
          <w:rFonts w:ascii="Arial" w:cs="Arial" w:eastAsia="Arial" w:hAnsi="Arial"/>
          <w:b/>
          <w:bCs/>
          <w:color w:val="1F3864"/>
          <w:sz w:val="28"/>
          <w:szCs w:val="28"/>
        </w:rPr>
        <w:t xml:space="preserve">6. QC Report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QC Check</w:t>
            </w:r>
          </w:p>
        </w:tc>
        <w:tc>
          <w:tcPr>
            <w:tcW w:type="dxa" w:w="268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Result</w:t>
            </w:r>
          </w:p>
        </w:tc>
        <w:tc>
          <w:tcPr>
            <w:tcW w:type="dxa" w:w="268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Details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ELK classification (merged ontology)</w:t>
            </w:r>
          </w:p>
        </w:tc>
        <w:tc>
          <w:tcPr>
            <w:tcW w:type="dxa" w:w="2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 unsatisfiable classes</w:t>
            </w:r>
          </w:p>
        </w:tc>
      </w:tr>
      <w:tr>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OWL 2 EL profile validation</w:t>
            </w:r>
          </w:p>
        </w:tc>
        <w:tc>
          <w:tcPr>
            <w:tcW w:type="dxa" w:w="2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6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No profile violations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ROBOT report (severity-tiered rules)</w:t>
            </w:r>
          </w:p>
        </w:tc>
        <w:tc>
          <w:tcPr>
            <w:tcW w:type="dxa" w:w="2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 errors, 0 warnings</w:t>
            </w:r>
          </w:p>
        </w:tc>
      </w:tr>
      <w:tr>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SPARQL: all axioms have prov:wasDerivedFrom</w:t>
            </w:r>
          </w:p>
        </w:tc>
        <w:tc>
          <w:tcPr>
            <w:tcW w:type="dxa" w:w="2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6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12/12 axioms annotated</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SPARQL: all axioms have dct:license</w:t>
            </w:r>
          </w:p>
        </w:tc>
        <w:tc>
          <w:tcPr>
            <w:tcW w:type="dxa" w:w="2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12/12 axioms annotated</w:t>
            </w:r>
          </w:p>
        </w:tc>
      </w:tr>
      <w:tr>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SPARQL: all axioms have icd:batchId</w:t>
            </w:r>
          </w:p>
        </w:tc>
        <w:tc>
          <w:tcPr>
            <w:tcW w:type="dxa" w:w="2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6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12/12 axioms annotated</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SPARQL: all axioms have icd:batchManifestHash</w:t>
            </w:r>
          </w:p>
        </w:tc>
        <w:tc>
          <w:tcPr>
            <w:tcW w:type="dxa" w:w="2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12/12 axioms annotated</w:t>
            </w:r>
          </w:p>
        </w:tc>
      </w:tr>
      <w:tr>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Manifest: all per-artifact entries present</w:t>
            </w:r>
          </w:p>
        </w:tc>
        <w:tc>
          <w:tcPr>
            <w:tcW w:type="dxa" w:w="2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6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12/12 entries in §3</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Manifest: all entries have icd:mappingJustification</w:t>
            </w:r>
          </w:p>
        </w:tc>
        <w:tc>
          <w:tcPr>
            <w:tcW w:type="dxa" w:w="2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12/12 entries justified</w:t>
            </w:r>
          </w:p>
        </w:tc>
      </w:tr>
      <w:tr>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Bidirectional consistency: no conflicting alignments</w:t>
            </w:r>
          </w:p>
        </w:tc>
        <w:tc>
          <w:tcPr>
            <w:tcW w:type="dxa" w:w="2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6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No axis maps to 2 RO relations at same level</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Domain/range compatibility</w:t>
            </w:r>
          </w:p>
        </w:tc>
        <w:tc>
          <w:tcPr>
            <w:tcW w:type="dxa" w:w="268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No domain/range contradiction between ICD and RO</w:t>
            </w:r>
          </w:p>
        </w:tc>
      </w:tr>
    </w:tbl>
    <w:p>
      <w:pPr>
        <w:spacing w:after="160"/>
      </w:pPr>
      <w:r>
        <w:rPr>
          <w:rFonts w:ascii="Arial" w:cs="Arial" w:eastAsia="Arial" w:hAnsi="Arial"/>
          <w:sz w:val="20"/>
          <w:szCs w:val="20"/>
        </w:rPr>
        <w:t xml:space="preserve">Full QC logs are attached as companion files: elk_classification.log, robot_report.tsv, el_profile_validator.txt, sparql_provenance_check.tsv.</w:t>
      </w:r>
    </w:p>
    <w:p>
      <w:pPr>
        <w:pStyle w:val="Heading1"/>
        <w:spacing w:after="160" w:before="320"/>
      </w:pPr>
      <w:r>
        <w:rPr>
          <w:rFonts w:ascii="Arial" w:cs="Arial" w:eastAsia="Arial" w:hAnsi="Arial"/>
          <w:b/>
          <w:bCs/>
          <w:color w:val="1F3864"/>
          <w:sz w:val="28"/>
          <w:szCs w:val="28"/>
        </w:rPr>
        <w:t xml:space="preserve">7. License Compatibility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560"/>
        <w:gridCol w:w="1600"/>
        <w:gridCol w:w="1600"/>
      </w:tblGrid>
      <w:tr>
        <w:tc>
          <w:tcPr>
            <w:tcW w:type="dxa" w:w="28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Source</w:t>
            </w:r>
          </w:p>
        </w:tc>
        <w:tc>
          <w:tcPr>
            <w:tcW w:type="dxa" w:w="18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License</w:t>
            </w:r>
          </w:p>
        </w:tc>
        <w:tc>
          <w:tcPr>
            <w:tcW w:type="dxa" w:w="15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 Artifacts</w:t>
            </w:r>
          </w:p>
        </w:tc>
        <w:tc>
          <w:tcPr>
            <w:tcW w:type="dxa" w:w="16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Compatible?</w:t>
            </w:r>
          </w:p>
        </w:tc>
        <w:tc>
          <w:tcPr>
            <w:tcW w:type="dxa" w:w="16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Relation Ontology (RO)</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CC-BY 4.0</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10</w:t>
            </w:r>
          </w:p>
        </w:tc>
        <w:tc>
          <w:tcPr>
            <w:tcW w:type="dxa" w:w="16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YES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Attribution required</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PATO (phenotype qualities)</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CC-BY 4.0</w:t>
            </w:r>
          </w:p>
        </w:tc>
        <w:tc>
          <w:tcPr>
            <w:tcW w:type="dxa" w:w="1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2</w:t>
            </w:r>
          </w:p>
        </w:tc>
        <w:tc>
          <w:tcPr>
            <w:tcW w:type="dxa" w:w="16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YES</w:t>
            </w:r>
          </w:p>
        </w:tc>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Attribution required</w:t>
            </w:r>
          </w:p>
        </w:tc>
      </w:tr>
    </w:tbl>
    <w:p>
      <w:pPr>
        <w:spacing w:after="160"/>
      </w:pPr>
      <w:r>
        <w:rPr>
          <w:rFonts w:ascii="Arial" w:cs="Arial" w:eastAsia="Arial" w:hAnsi="Arial"/>
          <w:sz w:val="20"/>
          <w:szCs w:val="20"/>
        </w:rPr>
        <w:t xml:space="preserve">Verdict: ALL source licenses in this batch are CC-BY 4.0 (OBO Foundry standard). Fully compatible with Foundation redistribution. No items dropped, no escalation needed.</w:t>
      </w:r>
    </w:p>
    <w:p>
      <w:pPr>
        <w:pStyle w:val="Heading1"/>
        <w:spacing w:after="160" w:before="320"/>
      </w:pPr>
      <w:r>
        <w:rPr>
          <w:rFonts w:ascii="Arial" w:cs="Arial" w:eastAsia="Arial" w:hAnsi="Arial"/>
          <w:b/>
          <w:bCs/>
          <w:color w:val="1F3864"/>
          <w:sz w:val="28"/>
          <w:szCs w:val="28"/>
        </w:rPr>
        <w:t xml:space="preserve">8. Change Log</w:t>
      </w:r>
    </w:p>
    <w:p>
      <w:pPr>
        <w:spacing w:after="160"/>
      </w:pPr>
      <w:r>
        <w:rPr>
          <w:rFonts w:ascii="Arial" w:cs="Arial" w:eastAsia="Arial" w:hAnsi="Arial"/>
          <w:sz w:val="20"/>
          <w:szCs w:val="20"/>
        </w:rPr>
        <w:t xml:space="preserve">This is the first axis-alignment batch. No prior batch exists against which to compute a diff. The 12 alignment axioms are all new additions.</w:t>
      </w:r>
    </w:p>
    <w:p>
      <w:pPr>
        <w:pStyle w:val="Heading2"/>
        <w:spacing w:after="120" w:before="260"/>
      </w:pPr>
      <w:r>
        <w:rPr>
          <w:rFonts w:ascii="Arial" w:cs="Arial" w:eastAsia="Arial" w:hAnsi="Arial"/>
          <w:b/>
          <w:bCs/>
          <w:color w:val="2E74B5"/>
          <w:sz w:val="24"/>
          <w:szCs w:val="24"/>
        </w:rPr>
        <w:t xml:space="preserve">8.1 Expected impact on Foundation</w:t>
      </w:r>
    </w:p>
    <w:p>
      <w:pPr>
        <w:pStyle w:val="ListParagraph"/>
        <w:numPr>
          <w:ilvl w:val="0"/>
          <w:numId w:val="2"/>
        </w:numPr>
        <w:spacing w:after="80"/>
      </w:pPr>
      <w:r>
        <w:rPr>
          <w:rFonts w:ascii="Arial" w:cs="Arial" w:eastAsia="Arial" w:hAnsi="Arial"/>
          <w:sz w:val="20"/>
          <w:szCs w:val="20"/>
        </w:rPr>
        <w:t xml:space="preserve">12 new property-level axioms added (no class-level changes).</w:t>
      </w:r>
    </w:p>
    <w:p>
      <w:pPr>
        <w:pStyle w:val="ListParagraph"/>
        <w:numPr>
          <w:ilvl w:val="0"/>
          <w:numId w:val="2"/>
        </w:numPr>
        <w:spacing w:after="80"/>
      </w:pPr>
      <w:r>
        <w:rPr>
          <w:rFonts w:ascii="Arial" w:cs="Arial" w:eastAsia="Arial" w:hAnsi="Arial"/>
          <w:sz w:val="20"/>
          <w:szCs w:val="20"/>
        </w:rPr>
        <w:t xml:space="preserve">No impact on Foundation entity count or hierarchy.</w:t>
      </w:r>
    </w:p>
    <w:p>
      <w:pPr>
        <w:pStyle w:val="ListParagraph"/>
        <w:numPr>
          <w:ilvl w:val="0"/>
          <w:numId w:val="2"/>
        </w:numPr>
        <w:spacing w:after="80"/>
      </w:pPr>
      <w:r>
        <w:rPr>
          <w:rFonts w:ascii="Arial" w:cs="Arial" w:eastAsia="Arial" w:hAnsi="Arial"/>
          <w:sz w:val="20"/>
          <w:szCs w:val="20"/>
        </w:rPr>
        <w:t xml:space="preserve">Enables subsequent content-import batches (§3.2–§3.4) that depend on axis alignment for logical-definition translation.</w:t>
      </w:r>
    </w:p>
    <w:p>
      <w:pPr>
        <w:pStyle w:val="ListParagraph"/>
        <w:numPr>
          <w:ilvl w:val="0"/>
          <w:numId w:val="2"/>
        </w:numPr>
        <w:spacing w:after="80"/>
      </w:pPr>
      <w:r>
        <w:rPr>
          <w:rFonts w:ascii="Arial" w:cs="Arial" w:eastAsia="Arial" w:hAnsi="Arial"/>
          <w:sz w:val="20"/>
          <w:szCs w:val="20"/>
        </w:rPr>
        <w:t xml:space="preserve">No impact on MMS linearization projection (property axioms do not affect code assignment).</w:t>
      </w:r>
    </w:p>
    <w:p>
      <w:pPr>
        <w:pStyle w:val="Heading2"/>
        <w:spacing w:after="120" w:before="260"/>
      </w:pPr>
      <w:r>
        <w:rPr>
          <w:rFonts w:ascii="Arial" w:cs="Arial" w:eastAsia="Arial" w:hAnsi="Arial"/>
          <w:b/>
          <w:bCs/>
          <w:color w:val="2E74B5"/>
          <w:sz w:val="24"/>
          <w:szCs w:val="24"/>
        </w:rPr>
        <w:t xml:space="preserve">8.2 Dependencies</w:t>
      </w:r>
    </w:p>
    <w:p>
      <w:pPr>
        <w:pStyle w:val="ListParagraph"/>
        <w:numPr>
          <w:ilvl w:val="0"/>
          <w:numId w:val="2"/>
        </w:numPr>
        <w:spacing w:after="80"/>
      </w:pPr>
      <w:r>
        <w:rPr>
          <w:rFonts w:ascii="Arial" w:cs="Arial" w:eastAsia="Arial" w:hAnsi="Arial"/>
          <w:sz w:val="20"/>
          <w:szCs w:val="20"/>
        </w:rPr>
        <w:t xml:space="preserve">This batch has no upstream dependencies (it is the first in the enrichment pipeline).</w:t>
      </w:r>
    </w:p>
    <w:p>
      <w:pPr>
        <w:pStyle w:val="ListParagraph"/>
        <w:numPr>
          <w:ilvl w:val="0"/>
          <w:numId w:val="2"/>
        </w:numPr>
        <w:spacing w:after="80"/>
      </w:pPr>
      <w:r>
        <w:rPr>
          <w:rFonts w:ascii="Arial" w:cs="Arial" w:eastAsia="Arial" w:hAnsi="Arial"/>
          <w:b/>
          <w:bCs/>
          <w:sz w:val="20"/>
          <w:szCs w:val="20"/>
        </w:rPr>
        <w:t xml:space="preserve">Downstream batches depend on this one: </w:t>
      </w:r>
      <w:r>
        <w:rPr>
          <w:rFonts w:ascii="Arial" w:cs="Arial" w:eastAsia="Arial" w:hAnsi="Arial"/>
          <w:sz w:val="20"/>
          <w:szCs w:val="20"/>
        </w:rPr>
        <w:t xml:space="preserve">Logical Definition Import (§3.2), Necessary-Conditions Import (§3.3), Equivalence-Anchored Subtree Import (§3.4), and Extension Code Value-Set Binding (§3.5) all require the axis/RO alignment to be in place before their axioms are classification-equivalent across vocabularies.</w:t>
      </w:r>
    </w:p>
    <w:p>
      <w:pPr>
        <w:pStyle w:val="Heading1"/>
        <w:spacing w:after="160" w:before="320"/>
      </w:pPr>
      <w:r>
        <w:rPr>
          <w:rFonts w:ascii="Arial" w:cs="Arial" w:eastAsia="Arial" w:hAnsi="Arial"/>
          <w:b/>
          <w:bCs/>
          <w:color w:val="1F3864"/>
          <w:sz w:val="28"/>
          <w:szCs w:val="28"/>
        </w:rPr>
        <w:t xml:space="preserve">9. Companion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File</w:t>
            </w:r>
          </w:p>
        </w:tc>
        <w:tc>
          <w:tcPr>
            <w:tcW w:type="dxa" w:w="53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axis_alignment_v1_template.yaml</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DOSDP-style template defining the alignment pattern</w:t>
            </w:r>
          </w:p>
        </w:tc>
      </w:tr>
      <w:tr>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axis_alignment_seed.tsv</w:t>
            </w:r>
          </w:p>
        </w:tc>
        <w:tc>
          <w:tcPr>
            <w:tcW w:type="dxa" w:w="5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12-row TSV with ICD axis IRI, RO relation IRI, and alignment type</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generated_axioms.ofn</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OWL Functional Syntax file with all 12 axioms + provenance annotations</w:t>
            </w:r>
          </w:p>
        </w:tc>
      </w:tr>
      <w:tr>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elk_classification.log</w:t>
            </w:r>
          </w:p>
        </w:tc>
        <w:tc>
          <w:tcPr>
            <w:tcW w:type="dxa" w:w="5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ELK 0.6.0 classification log on merged Foundation + alignment</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robot_report.tsv</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ROBOT report output (0 errors, 0 warnings)</w:t>
            </w:r>
          </w:p>
        </w:tc>
      </w:tr>
      <w:tr>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el_profile_validator.txt</w:t>
            </w:r>
          </w:p>
        </w:tc>
        <w:tc>
          <w:tcPr>
            <w:tcW w:type="dxa" w:w="5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OWL 2 EL profile check (passed)</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sparql_provenance_check.tsv</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SPARQL results confirming all provenance annotations present</w:t>
            </w:r>
          </w:p>
        </w:tc>
      </w:tr>
      <w:tr>
        <w:tc>
          <w:tcPr>
            <w:tcW w:type="dxa" w:w="4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manifest.json</w:t>
            </w:r>
          </w:p>
        </w:tc>
        <w:tc>
          <w:tcPr>
            <w:tcW w:type="dxa" w:w="5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Machine-readable version of this manifest (JSON-LD)</w:t>
            </w:r>
          </w:p>
        </w:tc>
      </w:tr>
    </w:tbl>
    <w:p>
      <w:pPr>
        <w:pStyle w:val="Heading1"/>
        <w:spacing w:after="160" w:before="320"/>
      </w:pPr>
      <w:r>
        <w:rPr>
          <w:rFonts w:ascii="Arial" w:cs="Arial" w:eastAsia="Arial" w:hAnsi="Arial"/>
          <w:b/>
          <w:bCs/>
          <w:color w:val="1F3864"/>
          <w:sz w:val="28"/>
          <w:szCs w:val="28"/>
        </w:rPr>
        <w:t xml:space="preserve">10.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000"/>
        <w:gridCol w:w="1960"/>
      </w:tblGrid>
      <w:tr>
        <w:tc>
          <w:tcPr>
            <w:tcW w:type="dxa" w:w="24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Role</w:t>
            </w:r>
          </w:p>
        </w:tc>
        <w:tc>
          <w:tcPr>
            <w:tcW w:type="dxa" w:w="3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Name / ORCID</w:t>
            </w:r>
          </w:p>
        </w:tc>
        <w:tc>
          <w:tcPr>
            <w:tcW w:type="dxa" w:w="2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Date</w:t>
            </w:r>
          </w:p>
        </w:tc>
        <w:tc>
          <w:tcPr>
            <w:tcW w:type="dxa" w:w="19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Decision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Batch coordinator</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Samson Tu</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2026-05-01</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Submitted</w:t>
            </w:r>
          </w:p>
        </w:tc>
      </w:tr>
      <w:tr>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QC reviewer</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(pending)</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WHO-FIC editorial board</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(pending)</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
            </w:r>
          </w:p>
        </w:tc>
      </w:tr>
      <w:tr>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Integration engineer</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(pending)</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foundation-plus  —  Page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space="4"/>
      </w:pBdr>
      <w:jc w:val="right"/>
    </w:pPr>
    <w:r>
      <w:rPr>
        <w:rFonts w:ascii="Arial" w:cs="Arial" w:eastAsia="Arial" w:hAnsi="Arial"/>
        <w:i/>
        <w:iCs/>
        <w:color w:val="808080"/>
        <w:sz w:val="16"/>
        <w:szCs w:val="16"/>
      </w:rPr>
      <w:t xml:space="preserve">Batch Manifest: 2026-Q2-axis-align-01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60"/>
      <w:outlineLvl w:val="1"/>
    </w:pPr>
    <w:rPr>
      <w:rFonts w:ascii="Arial" w:cs="Arial" w:eastAsia="Arial" w:hAnsi="Arial"/>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Batch Manifest: Axis-to-Relation Alignment (2026-Q2-axis-align-01)</dc:title>
  <dc:creator>foundation-plus</dc:creator>
  <cp:lastModifiedBy>Un-named</cp:lastModifiedBy>
  <cp:revision>1</cp:revision>
  <dcterms:created xsi:type="dcterms:W3CDTF">2026-05-04T18:29:25.916Z</dcterms:created>
  <dcterms:modified xsi:type="dcterms:W3CDTF">2026-05-04T18:29:25.916Z</dcterms:modified>
</cp:coreProperties>
</file>

<file path=docProps/custom.xml><?xml version="1.0" encoding="utf-8"?>
<Properties xmlns="http://schemas.openxmlformats.org/officeDocument/2006/custom-properties" xmlns:vt="http://schemas.openxmlformats.org/officeDocument/2006/docPropsVTypes"/>
</file>