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48"/>
          <w:szCs w:val="48"/>
        </w:rPr>
        <w:t xml:space="preserve">Foundation-Plus Batch Portfolio</w:t>
      </w:r>
    </w:p>
    <w:p>
      <w:pPr>
        <w:spacing w:after="120"/>
        <w:jc w:val="center"/>
      </w:pPr>
      <w:r>
        <w:rPr>
          <w:rFonts w:ascii="Arial" w:cs="Arial" w:eastAsia="Arial" w:hAnsi="Arial"/>
          <w:color w:val="2E75B6"/>
          <w:sz w:val="28"/>
          <w:szCs w:val="28"/>
        </w:rPr>
        <w:t xml:space="preserve">WHO-FIC Foundation Component Enrichment</w:t>
      </w:r>
    </w:p>
    <w:p>
      <w:pPr>
        <w:spacing w:after="600"/>
        <w:jc w:val="center"/>
      </w:pPr>
      <w:r>
        <w:rPr>
          <w:rFonts w:ascii="Arial" w:cs="Arial" w:eastAsia="Arial" w:hAnsi="Arial"/>
          <w:color w:val="666666"/>
          <w:sz w:val="24"/>
          <w:szCs w:val="24"/>
        </w:rPr>
        <w:t xml:space="preserve">High-Level Report on Five Proposed Batches</w:t>
      </w:r>
    </w:p>
    <w:p>
      <w:pPr>
        <w:spacing w:after="80"/>
        <w:jc w:val="center"/>
      </w:pPr>
      <w:r>
        <w:rPr>
          <w:rFonts w:ascii="Arial" w:cs="Arial" w:eastAsia="Arial" w:hAnsi="Arial"/>
          <w:sz w:val="22"/>
          <w:szCs w:val="22"/>
        </w:rPr>
        <w:t xml:space="preserve">Samson Tu  ·  ORCID 0000-0002-0295-7821</w:t>
      </w:r>
    </w:p>
    <w:p>
      <w:pPr>
        <w:spacing w:after="1200"/>
        <w:jc w:val="center"/>
      </w:pPr>
      <w:r>
        <w:rPr>
          <w:rFonts w:ascii="Arial" w:cs="Arial" w:eastAsia="Arial" w:hAnsi="Arial"/>
          <w:color w:val="888888"/>
          <w:sz w:val="22"/>
          <w:szCs w:val="22"/>
        </w:rPr>
        <w:t xml:space="preserve">August 2026</w:t>
      </w:r>
    </w:p>
    <w:p>
      <w:r>
        <w:br w:type="page"/>
      </w:r>
    </w:p>
    <w:p>
      <w:pPr>
        <w:pStyle w:val="Heading1"/>
        <w:spacing w:after="200" w:before="360"/>
      </w:pPr>
      <w:r>
        <w:rPr>
          <w:rFonts w:ascii="Arial" w:cs="Arial" w:eastAsia="Arial" w:hAnsi="Arial"/>
          <w:b/>
          <w:bCs/>
          <w:color w:val="1F4E79"/>
          <w:sz w:val="32"/>
          <w:szCs w:val="32"/>
        </w:rPr>
        <w:t xml:space="preserve">Abstract</w:t>
      </w:r>
    </w:p>
    <w:p>
      <w:pPr>
        <w:spacing w:after="160"/>
        <w:jc w:val="left"/>
      </w:pPr>
      <w:r>
        <w:rPr>
          <w:rFonts w:ascii="Arial" w:cs="Arial" w:eastAsia="Arial" w:hAnsi="Arial"/>
          <w:sz w:val="22"/>
          <w:szCs w:val="22"/>
        </w:rPr>
        <w:t xml:space="preserve">The WHO-FIC Foundation Component provides a semantically rich ontological layer for ICD-11 but currently lacks logical definitions for many infectious disease entities. This report presents a portfolio of five coordinated enrichment batches that systematically harvest structured content from the Mondo Disease Ontology and translate it into OWL 2 EL axioms compatible with the Foundation's reasoning infrastructure. The portfolio spans property-level alignment (12 axioms mapping ICD-11 post-coordination axes to Relation Ontology relations), synonym enrichment (847 terms across 312 entities), subtree expansion (98 new entities below 42 leaf nodes), logical definition import (152 genus-differentia EquivalentClasses axioms), and extension code proposals (9 new codes for organisms and anatomical structures not yet in the WHO-FIC extension code hierarchy).</w:t>
      </w:r>
    </w:p>
    <w:p>
      <w:pPr>
        <w:spacing w:after="160"/>
        <w:jc w:val="left"/>
      </w:pPr>
      <w:r>
        <w:rPr>
          <w:rFonts w:ascii="Arial" w:cs="Arial" w:eastAsia="Arial" w:hAnsi="Arial"/>
          <w:sz w:val="22"/>
          <w:szCs w:val="22"/>
        </w:rPr>
        <w:t xml:space="preserve">All logical definitions derive from Mondo EquivalentClasses axioms; no definitions are constructed from domain knowledge alone. Filler classes reference WHO-FIC Foundation extension code entities by their canonical entity IRIs (from whofic-2025-05-24-labeled.owl), and each axiom retains cross-ontology interoperability annotations (skos:closeMatch to NCBITaxon and UBERON). A WHO-FIC audit of the original 28 candidate extension codes found that 19 already exist as Foundation entities, reducing the proposal to 9 truly-needed codes and reclassifying 18 formerly-deferred logical definitions as ready. HermiT reasoner verification confirmed 0 inconsistent and 0 unsatisfiable classes across all enrichment axioms. The portfolio totals over 1,100 enrichment items affecting Chapter 01 (Certain infectious or parasitic diseases), with all batches at Proposed status awaiting editorial board review.</w:t>
      </w:r>
    </w:p>
    <w:p>
      <w:r>
        <w:br w:type="page"/>
      </w:r>
    </w:p>
    <w:p>
      <w:pPr>
        <w:pStyle w:val="Heading1"/>
        <w:spacing w:after="200" w:before="360"/>
      </w:pPr>
      <w:r>
        <w:rPr>
          <w:rFonts w:ascii="Arial" w:cs="Arial" w:eastAsia="Arial" w:hAnsi="Arial"/>
          <w:b/>
          <w:bCs/>
          <w:color w:val="1F4E79"/>
          <w:sz w:val="32"/>
          <w:szCs w:val="32"/>
        </w:rPr>
        <w:t xml:space="preserve">1  Executive Summary</w:t>
      </w:r>
    </w:p>
    <w:p>
      <w:pPr>
        <w:spacing w:after="160"/>
        <w:jc w:val="left"/>
      </w:pPr>
      <w:r>
        <w:rPr>
          <w:rFonts w:ascii="Arial" w:cs="Arial" w:eastAsia="Arial" w:hAnsi="Arial"/>
          <w:sz w:val="22"/>
          <w:szCs w:val="22"/>
        </w:rPr>
        <w:t xml:space="preserve">The Foundation-Plus project enriches the WHO-FIC Foundation Component with structured content harvested from the Mondo Disease Ontology. Five batches, currently all at “Proposed” status, deliver complementary enrichment types ranging from property-level infrastructure through class-level synonyms, subtree expansions, logical definitions, and extension code proposals. Together they affect over 1,100 distinct enrichment items across Chapter 01 (Certain infectious or parasitic diseases).</w:t>
      </w:r>
    </w:p>
    <w:p>
      <w:pPr>
        <w:spacing w:after="160"/>
        <w:jc w:val="left"/>
      </w:pPr>
      <w:r>
        <w:rPr>
          <w:rFonts w:ascii="Arial" w:cs="Arial" w:eastAsia="Arial" w:hAnsi="Arial"/>
          <w:sz w:val="22"/>
          <w:szCs w:val="22"/>
        </w:rPr>
        <w:t xml:space="preserve">Each batch follows a reproducible, template-driven workflow: SPARQL harvest from Mondo, systematic filtering, OWL 2 EL axiom generation, and multi-layer quality control (ELK/HermiT classification, ROBOT report, provenance verification). All axioms carry full provenance annotations linking them to their Mondo source, the SSSOM mapping used, and the pattern that generated them. All logical definitions derive exclusively from Mondo EquivalentClasses axioms, and filler classes reference WHO-FIC Foundation extension code entities by their canonical entity IRIs.</w:t>
      </w:r>
    </w:p>
    <w:p>
      <w:pPr>
        <w:pStyle w:val="Heading1"/>
        <w:spacing w:after="200" w:before="360"/>
      </w:pPr>
      <w:r>
        <w:rPr>
          <w:rFonts w:ascii="Arial" w:cs="Arial" w:eastAsia="Arial" w:hAnsi="Arial"/>
          <w:b/>
          <w:bCs/>
          <w:color w:val="1F4E79"/>
          <w:sz w:val="32"/>
          <w:szCs w:val="32"/>
        </w:rPr>
        <w:t xml:space="preserve">2  Portfolio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560"/>
        <w:gridCol w:w="140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Batch ID</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Enrichment Type</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Items</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2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2026-Q2-axis-align-01</w:t>
            </w:r>
          </w:p>
        </w:tc>
        <w:tc>
          <w:tcPr>
            <w:tcW w:type="dxa" w:w="28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Axis-to-Relation Alignment</w:t>
            </w:r>
          </w:p>
        </w:tc>
        <w:tc>
          <w:tcPr>
            <w:tcW w:type="dxa" w:w="14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Property axioms</w:t>
            </w:r>
          </w:p>
        </w:tc>
        <w:tc>
          <w:tcPr>
            <w:tcW w:type="dxa" w:w="156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 axioms</w:t>
            </w:r>
          </w:p>
        </w:tc>
        <w:tc>
          <w:tcPr>
            <w:tcW w:type="dxa" w:w="14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Proposed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2026-Q3-syn-infectious-01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Synonym Enrichment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Annotations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847 terms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Proposed</w:t>
            </w:r>
          </w:p>
        </w:tc>
      </w:tr>
      <w:tr>
        <w:tc>
          <w:tcPr>
            <w:tcW w:type="dxa" w:w="22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2026-Q3-subtree-infectious-01</w:t>
            </w:r>
          </w:p>
        </w:tc>
        <w:tc>
          <w:tcPr>
            <w:tcW w:type="dxa" w:w="28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Subtree Import</w:t>
            </w:r>
          </w:p>
        </w:tc>
        <w:tc>
          <w:tcPr>
            <w:tcW w:type="dxa" w:w="14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New entities</w:t>
            </w:r>
          </w:p>
        </w:tc>
        <w:tc>
          <w:tcPr>
            <w:tcW w:type="dxa" w:w="156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98 entities</w:t>
            </w:r>
          </w:p>
        </w:tc>
        <w:tc>
          <w:tcPr>
            <w:tcW w:type="dxa" w:w="14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Proposed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2026-Q3-logdef-infectious-01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Logical Definition Import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Equiv. axioms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152 definitions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Proposed</w:t>
            </w:r>
          </w:p>
        </w:tc>
      </w:tr>
      <w:tr>
        <w:tc>
          <w:tcPr>
            <w:tcW w:type="dxa" w:w="22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2026-Q3-extcode-infectious-01</w:t>
            </w:r>
          </w:p>
        </w:tc>
        <w:tc>
          <w:tcPr>
            <w:tcW w:type="dxa" w:w="28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Extension Code Proposal</w:t>
            </w:r>
          </w:p>
        </w:tc>
        <w:tc>
          <w:tcPr>
            <w:tcW w:type="dxa" w:w="14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Proposed codes</w:t>
            </w:r>
          </w:p>
        </w:tc>
        <w:tc>
          <w:tcPr>
            <w:tcW w:type="dxa" w:w="156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 codes</w:t>
            </w:r>
          </w:p>
        </w:tc>
        <w:tc>
          <w:tcPr>
            <w:tcW w:type="dxa" w:w="14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Proposed</w:t>
            </w:r>
          </w:p>
        </w:tc>
      </w:tr>
    </w:tbl>
    <w:p>
      <w:pPr>
        <w:pStyle w:val="Heading1"/>
        <w:spacing w:after="200" w:before="360"/>
      </w:pPr>
      <w:r>
        <w:rPr>
          <w:rFonts w:ascii="Arial" w:cs="Arial" w:eastAsia="Arial" w:hAnsi="Arial"/>
          <w:b/>
          <w:bCs/>
          <w:color w:val="1F4E79"/>
          <w:sz w:val="32"/>
          <w:szCs w:val="32"/>
        </w:rPr>
        <w:t xml:space="preserve">3  Batch Descriptions</w:t>
      </w:r>
    </w:p>
    <w:p>
      <w:pPr>
        <w:pStyle w:val="Heading2"/>
        <w:spacing w:after="160" w:before="280"/>
      </w:pPr>
      <w:r>
        <w:rPr>
          <w:rFonts w:ascii="Arial" w:cs="Arial" w:eastAsia="Arial" w:hAnsi="Arial"/>
          <w:b/>
          <w:bCs/>
          <w:color w:val="2E75B6"/>
          <w:sz w:val="26"/>
          <w:szCs w:val="26"/>
        </w:rPr>
        <w:t xml:space="preserve">3.1  Axis-to-Relation Alignment (2026-Q2-axis-align-01)</w:t>
      </w:r>
    </w:p>
    <w:p>
      <w:pPr>
        <w:pStyle w:val="Heading3"/>
        <w:spacing w:after="120" w:before="200"/>
      </w:pPr>
      <w:r>
        <w:rPr>
          <w:rFonts w:ascii="Arial" w:cs="Arial" w:eastAsia="Arial" w:hAnsi="Arial"/>
          <w:b/>
          <w:bCs/>
          <w:color w:val="375F8C"/>
          <w:sz w:val="24"/>
          <w:szCs w:val="24"/>
        </w:rPr>
        <w:t xml:space="preserve">Scope</w:t>
      </w:r>
    </w:p>
    <w:p>
      <w:pPr>
        <w:spacing w:after="160"/>
        <w:jc w:val="left"/>
      </w:pPr>
      <w:r>
        <w:rPr>
          <w:rFonts w:ascii="Arial" w:cs="Arial" w:eastAsia="Arial" w:hAnsi="Arial"/>
          <w:sz w:val="22"/>
          <w:szCs w:val="22"/>
        </w:rPr>
        <w:t xml:space="preserve">Declares 12 property-level alignment axioms that map each ICD-11 Content Model post-coordination axis (e.g., icd:infectiousAgent, icd:specificAnatomy) to its corresponding Relation Ontology (RO) or PATO relation. This batch is an infrastructure prerequisite: it creates no class-level content but enables the ELK reasoner to verify that translated Mondo logical definitions are semantically equivalent to their originals.</w:t>
      </w:r>
    </w:p>
    <w:p>
      <w:pPr>
        <w:pStyle w:val="Heading3"/>
        <w:spacing w:after="120" w:before="200"/>
      </w:pPr>
      <w:r>
        <w:rPr>
          <w:rFonts w:ascii="Arial" w:cs="Arial" w:eastAsia="Arial" w:hAnsi="Arial"/>
          <w:b/>
          <w:bCs/>
          <w:color w:val="375F8C"/>
          <w:sz w:val="24"/>
          <w:szCs w:val="24"/>
        </w:rPr>
        <w:t xml:space="preserve">Method and Template</w:t>
      </w:r>
    </w:p>
    <w:p>
      <w:pPr>
        <w:spacing w:after="160"/>
        <w:jc w:val="left"/>
      </w:pPr>
      <w:r>
        <w:rPr>
          <w:rFonts w:ascii="Arial" w:cs="Arial" w:eastAsia="Arial" w:hAnsi="Arial"/>
          <w:sz w:val="22"/>
          <w:szCs w:val="22"/>
        </w:rPr>
        <w:t xml:space="preserve">A DOSDP-style YAML template (axis_alignment_v1_template.yaml) defines the alignment pattern. A 12-row seed TSV lists each ICD axis, the corresponding RO/PATO relation, and the alignment type (EquivalentObjectProperties for 4 exact matches, SubObjectPropertyOf for 8 subsumptive alignments). Axioms are generated in OWL Functional Syntax with full provenance annotations. QC includes ELK classification, OWL 2 EL profile validation, ROBOT report, and domain/range consistency checks.</w:t>
      </w:r>
    </w:p>
    <w:p>
      <w:pPr>
        <w:pStyle w:val="Heading3"/>
        <w:spacing w:after="120" w:before="200"/>
      </w:pPr>
      <w:r>
        <w:rPr>
          <w:rFonts w:ascii="Arial" w:cs="Arial" w:eastAsia="Arial" w:hAnsi="Arial"/>
          <w:b/>
          <w:bCs/>
          <w:color w:val="375F8C"/>
          <w:sz w:val="24"/>
          <w:szCs w:val="24"/>
        </w:rPr>
        <w:t xml:space="preserve">Enrichment Count</w:t>
      </w:r>
    </w:p>
    <w:p>
      <w:pPr>
        <w:spacing w:after="160"/>
        <w:jc w:val="left"/>
      </w:pPr>
      <w:r>
        <w:rPr>
          <w:rFonts w:ascii="Arial" w:cs="Arial" w:eastAsia="Arial" w:hAnsi="Arial"/>
          <w:sz w:val="22"/>
          <w:szCs w:val="22"/>
        </w:rPr>
        <w:t xml:space="preserve">12 axioms total: 4 EquivalentObjectProperties + 8 SubObjectPropertyOf. Zero Foundation classes are directly affected; the axioms operate entirely at the property level.</w:t>
      </w:r>
    </w:p>
    <w:p>
      <w:pPr>
        <w:pStyle w:val="Heading2"/>
        <w:spacing w:after="160" w:before="280"/>
      </w:pPr>
      <w:r>
        <w:rPr>
          <w:rFonts w:ascii="Arial" w:cs="Arial" w:eastAsia="Arial" w:hAnsi="Arial"/>
          <w:b/>
          <w:bCs/>
          <w:color w:val="2E75B6"/>
          <w:sz w:val="26"/>
          <w:szCs w:val="26"/>
        </w:rPr>
        <w:t xml:space="preserve">3.2  Synonym Enrichment (2026-Q3-syn-infectious-01)</w:t>
      </w:r>
    </w:p>
    <w:p>
      <w:pPr>
        <w:pStyle w:val="Heading3"/>
        <w:spacing w:after="120" w:before="200"/>
      </w:pPr>
      <w:r>
        <w:rPr>
          <w:rFonts w:ascii="Arial" w:cs="Arial" w:eastAsia="Arial" w:hAnsi="Arial"/>
          <w:b/>
          <w:bCs/>
          <w:color w:val="375F8C"/>
          <w:sz w:val="24"/>
          <w:szCs w:val="24"/>
        </w:rPr>
        <w:t xml:space="preserve">Scope</w:t>
      </w:r>
    </w:p>
    <w:p>
      <w:pPr>
        <w:spacing w:after="160"/>
        <w:jc w:val="left"/>
      </w:pPr>
      <w:r>
        <w:rPr>
          <w:rFonts w:ascii="Arial" w:cs="Arial" w:eastAsia="Arial" w:hAnsi="Arial"/>
          <w:sz w:val="22"/>
          <w:szCs w:val="22"/>
        </w:rPr>
        <w:t xml:space="preserve">Enriches 312 Foundation infectious disease entities with synonyms and inclusion terms harvested from Mondo. Targets entities in Chapter 01 (Certain infectious or parasitic diseases) that have exact SSSOM mappings to Mondo classes with confidence ≥ 0.9.</w:t>
      </w:r>
    </w:p>
    <w:p>
      <w:pPr>
        <w:pStyle w:val="Heading3"/>
        <w:spacing w:after="120" w:before="200"/>
      </w:pPr>
      <w:r>
        <w:rPr>
          <w:rFonts w:ascii="Arial" w:cs="Arial" w:eastAsia="Arial" w:hAnsi="Arial"/>
          <w:b/>
          <w:bCs/>
          <w:color w:val="375F8C"/>
          <w:sz w:val="24"/>
          <w:szCs w:val="24"/>
        </w:rPr>
        <w:t xml:space="preserve">Method and Template</w:t>
      </w:r>
    </w:p>
    <w:p>
      <w:pPr>
        <w:spacing w:after="160"/>
        <w:jc w:val="left"/>
      </w:pPr>
      <w:r>
        <w:rPr>
          <w:rFonts w:ascii="Arial" w:cs="Arial" w:eastAsia="Arial" w:hAnsi="Arial"/>
          <w:sz w:val="22"/>
          <w:szCs w:val="22"/>
        </w:rPr>
        <w:t xml:space="preserve">A SPARQL query harvests all synonyms from mapped Mondo classes, yielding 2,159 raw results. These are filtered through a multi-stage pipeline: deduplication removes 1,203 duplicates already present in the Foundation; a stoplist (v3.2, 10 rules) rejects 67 inappropriate terms; and SNOMED CT-derived synonyms (41 terms) are excluded for licensing reasons. Mondo’s synonym scope is mapped to ICD-11 vocabulary: hasExactSynonym → icd:synonym, hasNarrowSynonym → icd:inclusionTerm. Related synonyms (389 terms) are routed to a manual review queue rather than auto-imported.</w:t>
      </w:r>
    </w:p>
    <w:p>
      <w:pPr>
        <w:pStyle w:val="Heading3"/>
        <w:spacing w:after="120" w:before="200"/>
      </w:pPr>
      <w:r>
        <w:rPr>
          <w:rFonts w:ascii="Arial" w:cs="Arial" w:eastAsia="Arial" w:hAnsi="Arial"/>
          <w:b/>
          <w:bCs/>
          <w:color w:val="375F8C"/>
          <w:sz w:val="24"/>
          <w:szCs w:val="24"/>
        </w:rPr>
        <w:t xml:space="preserve">Enrichment Count</w:t>
      </w:r>
    </w:p>
    <w:p>
      <w:pPr>
        <w:spacing w:after="160"/>
        <w:jc w:val="left"/>
      </w:pPr>
      <w:r>
        <w:rPr>
          <w:rFonts w:ascii="Arial" w:cs="Arial" w:eastAsia="Arial" w:hAnsi="Arial"/>
          <w:sz w:val="22"/>
          <w:szCs w:val="22"/>
        </w:rPr>
        <w:t xml:space="preserve">847 accepted terms across 312 entities: 569 synonyms and 278 inclusion terms. An additional 389 related synonyms await manual review.</w:t>
      </w:r>
    </w:p>
    <w:p>
      <w:pPr>
        <w:pStyle w:val="Heading2"/>
        <w:spacing w:after="160" w:before="280"/>
      </w:pPr>
      <w:r>
        <w:rPr>
          <w:rFonts w:ascii="Arial" w:cs="Arial" w:eastAsia="Arial" w:hAnsi="Arial"/>
          <w:b/>
          <w:bCs/>
          <w:color w:val="2E75B6"/>
          <w:sz w:val="26"/>
          <w:szCs w:val="26"/>
        </w:rPr>
        <w:t xml:space="preserve">3.3  Subtree Import (2026-Q3-subtree-infectious-01)</w:t>
      </w:r>
    </w:p>
    <w:p>
      <w:pPr>
        <w:pStyle w:val="Heading3"/>
        <w:spacing w:after="120" w:before="200"/>
      </w:pPr>
      <w:r>
        <w:rPr>
          <w:rFonts w:ascii="Arial" w:cs="Arial" w:eastAsia="Arial" w:hAnsi="Arial"/>
          <w:b/>
          <w:bCs/>
          <w:color w:val="375F8C"/>
          <w:sz w:val="24"/>
          <w:szCs w:val="24"/>
        </w:rPr>
        <w:t xml:space="preserve">Scope</w:t>
      </w:r>
    </w:p>
    <w:p>
      <w:pPr>
        <w:spacing w:after="160"/>
        <w:jc w:val="left"/>
      </w:pPr>
      <w:r>
        <w:rPr>
          <w:rFonts w:ascii="Arial" w:cs="Arial" w:eastAsia="Arial" w:hAnsi="Arial"/>
          <w:sz w:val="22"/>
          <w:szCs w:val="22"/>
        </w:rPr>
        <w:t xml:space="preserve">Imports 98 new Foundation entities as children of 42 infectious disease leaf nodes. Each new entity is sourced from a Mondo descendant of the leaf node’s exact-match Mondo class, adding specificity below Foundation classes that currently have no children.</w:t>
      </w:r>
    </w:p>
    <w:p>
      <w:pPr>
        <w:pStyle w:val="Heading3"/>
        <w:spacing w:after="120" w:before="200"/>
      </w:pPr>
      <w:r>
        <w:rPr>
          <w:rFonts w:ascii="Arial" w:cs="Arial" w:eastAsia="Arial" w:hAnsi="Arial"/>
          <w:b/>
          <w:bCs/>
          <w:color w:val="375F8C"/>
          <w:sz w:val="24"/>
          <w:szCs w:val="24"/>
        </w:rPr>
        <w:t xml:space="preserve">Method and Template</w:t>
      </w:r>
    </w:p>
    <w:p>
      <w:pPr>
        <w:spacing w:after="160"/>
        <w:jc w:val="left"/>
      </w:pPr>
      <w:r>
        <w:rPr>
          <w:rFonts w:ascii="Arial" w:cs="Arial" w:eastAsia="Arial" w:hAnsi="Arial"/>
          <w:sz w:val="22"/>
          <w:szCs w:val="22"/>
        </w:rPr>
        <w:t xml:space="preserve">A two-pass SPARQL workflow first identifies Foundation leaf nodes with Mondo exact matches (45 candidates), then harvests their Mondo descendants (127 found). Exclusion filtering removes 29 candidates (deprecated classes, susceptibility loci, NOS categories), yielding 98 accepted entities. Each entity receives a provisional IRI (icd-stage: namespace), a SubClassOf axiom to its Foundation parent, and an EquivalentClasses axiom anchoring it to its Mondo source. Provisional IRIs are rewritten to permanent Foundation entity URIs upon iCAT submission. QC includes ELK equivalence verification (98/98 pass) and label collision checking against 82,914 existing labels.</w:t>
      </w:r>
    </w:p>
    <w:p>
      <w:pPr>
        <w:pStyle w:val="Heading3"/>
        <w:spacing w:after="120" w:before="200"/>
      </w:pPr>
      <w:r>
        <w:rPr>
          <w:rFonts w:ascii="Arial" w:cs="Arial" w:eastAsia="Arial" w:hAnsi="Arial"/>
          <w:b/>
          <w:bCs/>
          <w:color w:val="375F8C"/>
          <w:sz w:val="24"/>
          <w:szCs w:val="24"/>
        </w:rPr>
        <w:t xml:space="preserve">Enrichment Count</w:t>
      </w:r>
    </w:p>
    <w:p>
      <w:pPr>
        <w:spacing w:after="160"/>
        <w:jc w:val="left"/>
      </w:pPr>
      <w:r>
        <w:rPr>
          <w:rFonts w:ascii="Arial" w:cs="Arial" w:eastAsia="Arial" w:hAnsi="Arial"/>
          <w:sz w:val="22"/>
          <w:szCs w:val="22"/>
        </w:rPr>
        <w:t xml:space="preserve">98 new Foundation entities (each with SubClassOf + EquivalentClasses axioms = 196 class-level axioms plus 98 declarations). These expand 42 former leaf nodes into small subtrees.</w:t>
      </w:r>
    </w:p>
    <w:p>
      <w:pPr>
        <w:pStyle w:val="Heading2"/>
        <w:spacing w:after="160" w:before="280"/>
      </w:pPr>
      <w:r>
        <w:rPr>
          <w:rFonts w:ascii="Arial" w:cs="Arial" w:eastAsia="Arial" w:hAnsi="Arial"/>
          <w:b/>
          <w:bCs/>
          <w:color w:val="2E75B6"/>
          <w:sz w:val="26"/>
          <w:szCs w:val="26"/>
        </w:rPr>
        <w:t xml:space="preserve">3.4  Logical Definition Import (2026-Q3-logdef-infectious-01)</w:t>
      </w:r>
    </w:p>
    <w:p>
      <w:pPr>
        <w:pStyle w:val="Heading3"/>
        <w:spacing w:after="120" w:before="200"/>
      </w:pPr>
      <w:r>
        <w:rPr>
          <w:rFonts w:ascii="Arial" w:cs="Arial" w:eastAsia="Arial" w:hAnsi="Arial"/>
          <w:b/>
          <w:bCs/>
          <w:color w:val="375F8C"/>
          <w:sz w:val="24"/>
          <w:szCs w:val="24"/>
        </w:rPr>
        <w:t xml:space="preserve">Scope</w:t>
      </w:r>
    </w:p>
    <w:p>
      <w:pPr>
        <w:spacing w:after="160"/>
        <w:jc w:val="left"/>
      </w:pPr>
      <w:r>
        <w:rPr>
          <w:rFonts w:ascii="Arial" w:cs="Arial" w:eastAsia="Arial" w:hAnsi="Arial"/>
          <w:sz w:val="22"/>
          <w:szCs w:val="22"/>
        </w:rPr>
        <w:t xml:space="preserve">Adds 152 logical definitions (EquivalentClasses axioms in genus-differentia form) to Foundation infectious disease entities that currently lack them. All definitions derive from Mondo EquivalentClasses axioms; four candidate definitions lacking Mondo equivalences (typhoid fever, malaria, rabies, visceral leishmaniasis) were excluded. Filler classes reference WHO-FIC Foundation extension code entities by their canonical entity IRIs from whofic-2025-05-24-labeled.owl.</w:t>
      </w:r>
    </w:p>
    <w:p>
      <w:pPr>
        <w:pStyle w:val="Heading3"/>
        <w:spacing w:after="120" w:before="200"/>
      </w:pPr>
      <w:r>
        <w:rPr>
          <w:rFonts w:ascii="Arial" w:cs="Arial" w:eastAsia="Arial" w:hAnsi="Arial"/>
          <w:b/>
          <w:bCs/>
          <w:color w:val="375F8C"/>
          <w:sz w:val="24"/>
          <w:szCs w:val="24"/>
        </w:rPr>
        <w:t xml:space="preserve">Method and Template</w:t>
      </w:r>
    </w:p>
    <w:p>
      <w:pPr>
        <w:spacing w:after="160"/>
        <w:jc w:val="left"/>
      </w:pPr>
      <w:r>
        <w:rPr>
          <w:rFonts w:ascii="Arial" w:cs="Arial" w:eastAsia="Arial" w:hAnsi="Arial"/>
          <w:sz w:val="22"/>
          <w:szCs w:val="22"/>
        </w:rPr>
        <w:t xml:space="preserve">The process begins with a SPARQL harvest of Mondo logical definitions for the 312 mapped Foundation entities. Of 211 Mondo classes with logical definitions, 168 candidates pass scope matching and 152 survive exclusion filtering (non-EL constructs, scope mismatches, unmapped fillers, and 4 diseases lacking Mondo EquivalentClasses axioms). Relation translation uses the axis alignment from batch 2026-Q2-axis-align-01. Filler translation maps NCBITaxon organisms and UBERON anatomy terms to WHO-FIC Foundation extension code entities using entity IRIs and rdfs:labels from whofic-2025-05-24-labeled.owl. A WHO-FIC audit found that 19 of 28 originally identified filler gaps already exist as extension code entities, reducing the truly-needed proposals to 9. Each axiom carries a skos:closeMatch annotation linking back to the original NCBITaxon or UBERON IRI.</w:t>
      </w:r>
    </w:p>
    <w:p>
      <w:pPr>
        <w:pStyle w:val="Heading3"/>
        <w:spacing w:after="120" w:before="200"/>
      </w:pPr>
      <w:r>
        <w:rPr>
          <w:rFonts w:ascii="Arial" w:cs="Arial" w:eastAsia="Arial" w:hAnsi="Arial"/>
          <w:b/>
          <w:bCs/>
          <w:color w:val="375F8C"/>
          <w:sz w:val="24"/>
          <w:szCs w:val="24"/>
        </w:rPr>
        <w:t xml:space="preserve">Enrichment Count</w:t>
      </w:r>
    </w:p>
    <w:p>
      <w:pPr>
        <w:spacing w:after="160"/>
        <w:jc w:val="left"/>
      </w:pPr>
      <w:r>
        <w:rPr>
          <w:rFonts w:ascii="Arial" w:cs="Arial" w:eastAsia="Arial" w:hAnsi="Arial"/>
          <w:sz w:val="22"/>
          <w:szCs w:val="22"/>
        </w:rPr>
        <w:t xml:space="preserve">152 logical definitions total (all from Mondo EquivalentClasses axioms): 143 “ready” (all fillers map to existing WHO-FIC extension code entities) and 9 “deferred” (awaiting 9 proposed new extension codes from the extcode batch). Axes used: infectiousAgent (148), specificAnatomy (45), hasManifestation (12), hasCausingCondition (3). HermiT reasoner: PASS (0 inconsistent, 0 unsatisfiable classes).</w:t>
      </w:r>
    </w:p>
    <w:p>
      <w:pPr>
        <w:pStyle w:val="Heading2"/>
        <w:spacing w:after="160" w:before="280"/>
      </w:pPr>
      <w:r>
        <w:rPr>
          <w:rFonts w:ascii="Arial" w:cs="Arial" w:eastAsia="Arial" w:hAnsi="Arial"/>
          <w:b/>
          <w:bCs/>
          <w:color w:val="2E75B6"/>
          <w:sz w:val="26"/>
          <w:szCs w:val="26"/>
        </w:rPr>
        <w:t xml:space="preserve">3.5  Extension Code Proposal (2026-Q3-extcode-infectious-01)</w:t>
      </w:r>
    </w:p>
    <w:p>
      <w:pPr>
        <w:pStyle w:val="Heading3"/>
        <w:spacing w:after="120" w:before="200"/>
      </w:pPr>
      <w:r>
        <w:rPr>
          <w:rFonts w:ascii="Arial" w:cs="Arial" w:eastAsia="Arial" w:hAnsi="Arial"/>
          <w:b/>
          <w:bCs/>
          <w:color w:val="375F8C"/>
          <w:sz w:val="24"/>
          <w:szCs w:val="24"/>
        </w:rPr>
        <w:t xml:space="preserve">Scope</w:t>
      </w:r>
    </w:p>
    <w:p>
      <w:pPr>
        <w:spacing w:after="160"/>
        <w:jc w:val="left"/>
      </w:pPr>
      <w:r>
        <w:rPr>
          <w:rFonts w:ascii="Arial" w:cs="Arial" w:eastAsia="Arial" w:hAnsi="Arial"/>
          <w:sz w:val="22"/>
          <w:szCs w:val="22"/>
        </w:rPr>
        <w:t xml:space="preserve">Proposes 9 new ICD-11 extension codes—5 infectious agents (XN block) and 4 anatomical structures (XA block)—needed as filler classes for the 9 deferred logical definitions in batch 2026-Q3-logdef-infectious-01. Originally 28 candidate codes were identified in a gap analysis; a WHO-FIC audit against whofic-2025-05-24-labeled.owl found 19 already exist as Foundation entities, reducing the proposal to these 9 truly-needed codes.</w:t>
      </w:r>
    </w:p>
    <w:p>
      <w:pPr>
        <w:pStyle w:val="Heading3"/>
        <w:spacing w:after="120" w:before="200"/>
      </w:pPr>
      <w:r>
        <w:rPr>
          <w:rFonts w:ascii="Arial" w:cs="Arial" w:eastAsia="Arial" w:hAnsi="Arial"/>
          <w:b/>
          <w:bCs/>
          <w:color w:val="375F8C"/>
          <w:sz w:val="24"/>
          <w:szCs w:val="24"/>
        </w:rPr>
        <w:t xml:space="preserve">Method and Template</w:t>
      </w:r>
    </w:p>
    <w:p>
      <w:pPr>
        <w:spacing w:after="160"/>
        <w:jc w:val="left"/>
      </w:pPr>
      <w:r>
        <w:rPr>
          <w:rFonts w:ascii="Arial" w:cs="Arial" w:eastAsia="Arial" w:hAnsi="Arial"/>
          <w:sz w:val="22"/>
          <w:szCs w:val="22"/>
        </w:rPr>
        <w:t xml:space="preserve">A gap analysis of the filler mapping table originally identified 28 missing codes. Each was audited against whofic-2025-05-24-labeled.owl; 19 were found to already exist (documented in qc/whofic_audit.tsv), leaving 9 truly-needed proposals. Each proposed code is placed under its appropriate WHO-FIC parent entity and given a label following ICD-11 extension code naming conventions. OWL axioms include Declaration, SubClassOf (hierarchy placement), rdfs:label, and skos:exactMatch to the source NCBITaxon or UBERON IRI. QC verifies no label collisions, confirms all external source IDs are current and non-deprecated, and validates parent entity existence in the WHO-FIC hierarchy.</w:t>
      </w:r>
    </w:p>
    <w:p>
      <w:pPr>
        <w:pStyle w:val="Heading3"/>
        <w:spacing w:after="120" w:before="200"/>
      </w:pPr>
      <w:r>
        <w:rPr>
          <w:rFonts w:ascii="Arial" w:cs="Arial" w:eastAsia="Arial" w:hAnsi="Arial"/>
          <w:b/>
          <w:bCs/>
          <w:color w:val="375F8C"/>
          <w:sz w:val="24"/>
          <w:szCs w:val="24"/>
        </w:rPr>
        <w:t xml:space="preserve">Enrichment Count</w:t>
      </w:r>
    </w:p>
    <w:p>
      <w:pPr>
        <w:spacing w:after="160"/>
        <w:jc w:val="left"/>
      </w:pPr>
      <w:r>
        <w:rPr>
          <w:rFonts w:ascii="Arial" w:cs="Arial" w:eastAsia="Arial" w:hAnsi="Arial"/>
          <w:sz w:val="22"/>
          <w:szCs w:val="22"/>
        </w:rPr>
        <w:t xml:space="preserve">9 proposed codes (reduced from 28 after WHO-FIC audit): 5 XN infectious agents (Leishmania braziliensis, Balamuthia mandrillaris, Human enterovirus 71, Nipah virus, Hendra virus) and 4 XA anatomical structures (Intestinal mucosa, Biliary system, Portal venous system, Lymphoid tissue). Priority: 3 high, 4 medium, 2 low. Approval of this batch unblocks all 9 deferred logical definitions.</w:t>
      </w:r>
    </w:p>
    <w:p>
      <w:r>
        <w:br w:type="page"/>
      </w:r>
    </w:p>
    <w:p>
      <w:pPr>
        <w:pStyle w:val="Heading1"/>
        <w:spacing w:after="200" w:before="360"/>
      </w:pPr>
      <w:r>
        <w:rPr>
          <w:rFonts w:ascii="Arial" w:cs="Arial" w:eastAsia="Arial" w:hAnsi="Arial"/>
          <w:b/>
          <w:bCs/>
          <w:color w:val="1F4E79"/>
          <w:sz w:val="32"/>
          <w:szCs w:val="32"/>
        </w:rPr>
        <w:t xml:space="preserve">4  Common Methods and Templates</w:t>
      </w:r>
    </w:p>
    <w:p>
      <w:pPr>
        <w:spacing w:after="160"/>
        <w:jc w:val="left"/>
      </w:pPr>
      <w:r>
        <w:rPr>
          <w:rFonts w:ascii="Arial" w:cs="Arial" w:eastAsia="Arial" w:hAnsi="Arial"/>
          <w:sz w:val="22"/>
          <w:szCs w:val="22"/>
        </w:rPr>
        <w:t xml:space="preserve">All five batches share a common workflow architecture with the following stages.</w:t>
      </w:r>
    </w:p>
    <w:p>
      <w:pPr>
        <w:pStyle w:val="Heading2"/>
        <w:spacing w:after="160" w:before="280"/>
      </w:pPr>
      <w:r>
        <w:rPr>
          <w:rFonts w:ascii="Arial" w:cs="Arial" w:eastAsia="Arial" w:hAnsi="Arial"/>
          <w:b/>
          <w:bCs/>
          <w:color w:val="2E75B6"/>
          <w:sz w:val="26"/>
          <w:szCs w:val="26"/>
        </w:rPr>
        <w:t xml:space="preserve">4.1  Data Harvest</w:t>
      </w:r>
    </w:p>
    <w:p>
      <w:pPr>
        <w:spacing w:after="160"/>
        <w:jc w:val="left"/>
      </w:pPr>
      <w:r>
        <w:rPr>
          <w:rFonts w:ascii="Arial" w:cs="Arial" w:eastAsia="Arial" w:hAnsi="Arial"/>
          <w:sz w:val="22"/>
          <w:szCs w:val="22"/>
        </w:rPr>
        <w:t xml:space="preserve">SPARQL queries run against the Mondo Disease Ontology (for class-level content) or the Foundation Component (for identifying enrichment targets). Each batch includes its harvest queries as companion files.</w:t>
      </w:r>
    </w:p>
    <w:p>
      <w:pPr>
        <w:pStyle w:val="Heading2"/>
        <w:spacing w:after="160" w:before="280"/>
      </w:pPr>
      <w:r>
        <w:rPr>
          <w:rFonts w:ascii="Arial" w:cs="Arial" w:eastAsia="Arial" w:hAnsi="Arial"/>
          <w:b/>
          <w:bCs/>
          <w:color w:val="2E75B6"/>
          <w:sz w:val="26"/>
          <w:szCs w:val="26"/>
        </w:rPr>
        <w:t xml:space="preserve">4.2  Filtering and Exclusion</w:t>
      </w:r>
    </w:p>
    <w:p>
      <w:pPr>
        <w:spacing w:after="160"/>
        <w:jc w:val="left"/>
      </w:pPr>
      <w:r>
        <w:rPr>
          <w:rFonts w:ascii="Arial" w:cs="Arial" w:eastAsia="Arial" w:hAnsi="Arial"/>
          <w:sz w:val="22"/>
          <w:szCs w:val="22"/>
        </w:rPr>
        <w:t xml:space="preserve">Each batch applies domain-specific exclusion criteria: non-EL constructs, deprecated sources, scope mismatches, licensing conflicts (SNOMED CT), and editorial stoplists. Exclusion logs are provided as companion TSV files for full transparency.</w:t>
      </w:r>
    </w:p>
    <w:p>
      <w:pPr>
        <w:pStyle w:val="Heading2"/>
        <w:spacing w:after="160" w:before="280"/>
      </w:pPr>
      <w:r>
        <w:rPr>
          <w:rFonts w:ascii="Arial" w:cs="Arial" w:eastAsia="Arial" w:hAnsi="Arial"/>
          <w:b/>
          <w:bCs/>
          <w:color w:val="2E75B6"/>
          <w:sz w:val="26"/>
          <w:szCs w:val="26"/>
        </w:rPr>
        <w:t xml:space="preserve">4.3  Axiom Generation</w:t>
      </w:r>
    </w:p>
    <w:p>
      <w:pPr>
        <w:spacing w:after="160"/>
        <w:jc w:val="left"/>
      </w:pPr>
      <w:r>
        <w:rPr>
          <w:rFonts w:ascii="Arial" w:cs="Arial" w:eastAsia="Arial" w:hAnsi="Arial"/>
          <w:sz w:val="22"/>
          <w:szCs w:val="22"/>
        </w:rPr>
        <w:t xml:space="preserve">Enrichment artifacts are generated in OWL 2 EL-compliant OWL Functional Syntax (.ofn files). Every class declaration and axiom carries provenance annotations: source IRI, SSSOM mapping ID, pattern name, pattern version, and attribution. For subtree-import batches, provenance is recorded at two levels: directly on the class IRI (visible in Protégé’s Annotations tab) and on each SubClassOf and EquivalentClasses axiom (visible as axiom annotations in the Description panel). Templates use DOSDP-style YAML patterns where applicable.</w:t>
      </w:r>
    </w:p>
    <w:p>
      <w:pPr>
        <w:pStyle w:val="Heading2"/>
        <w:spacing w:after="160" w:before="280"/>
      </w:pPr>
      <w:r>
        <w:rPr>
          <w:rFonts w:ascii="Arial" w:cs="Arial" w:eastAsia="Arial" w:hAnsi="Arial"/>
          <w:b/>
          <w:bCs/>
          <w:color w:val="2E75B6"/>
          <w:sz w:val="26"/>
          <w:szCs w:val="26"/>
        </w:rPr>
        <w:t xml:space="preserve">4.4  Quality Control</w:t>
      </w:r>
    </w:p>
    <w:p>
      <w:pPr>
        <w:spacing w:after="160"/>
        <w:jc w:val="left"/>
      </w:pPr>
      <w:r>
        <w:rPr>
          <w:rFonts w:ascii="Arial" w:cs="Arial" w:eastAsia="Arial" w:hAnsi="Arial"/>
          <w:sz w:val="22"/>
          <w:szCs w:val="22"/>
        </w:rPr>
        <w:t xml:space="preserve">A four-layer QC pipeline is applied to every batch:</w:t>
      </w:r>
    </w:p>
    <w:p>
      <w:pPr>
        <w:pStyle w:val="ListParagraph"/>
        <w:numPr>
          <w:ilvl w:val="0"/>
          <w:numId w:val="2"/>
        </w:numPr>
        <w:spacing w:after="80"/>
      </w:pPr>
      <w:r>
        <w:rPr>
          <w:rFonts w:ascii="Arial" w:cs="Arial" w:eastAsia="Arial" w:hAnsi="Arial"/>
          <w:sz w:val="22"/>
          <w:szCs w:val="22"/>
        </w:rPr>
        <w:t xml:space="preserve">ELK classification: 0 unsatisfiable classes, all entailments verified</w:t>
      </w:r>
    </w:p>
    <w:p>
      <w:pPr>
        <w:pStyle w:val="ListParagraph"/>
        <w:numPr>
          <w:ilvl w:val="0"/>
          <w:numId w:val="2"/>
        </w:numPr>
        <w:spacing w:after="80"/>
      </w:pPr>
      <w:r>
        <w:rPr>
          <w:rFonts w:ascii="Arial" w:cs="Arial" w:eastAsia="Arial" w:hAnsi="Arial"/>
          <w:sz w:val="22"/>
          <w:szCs w:val="22"/>
        </w:rPr>
        <w:t xml:space="preserve">OWL 2 EL profile validation: ensures compatibility with Foundation reasoning</w:t>
      </w:r>
    </w:p>
    <w:p>
      <w:pPr>
        <w:pStyle w:val="ListParagraph"/>
        <w:numPr>
          <w:ilvl w:val="0"/>
          <w:numId w:val="2"/>
        </w:numPr>
        <w:spacing w:after="80"/>
      </w:pPr>
      <w:r>
        <w:rPr>
          <w:rFonts w:ascii="Arial" w:cs="Arial" w:eastAsia="Arial" w:hAnsi="Arial"/>
          <w:sz w:val="22"/>
          <w:szCs w:val="22"/>
        </w:rPr>
        <w:t xml:space="preserve">ROBOT report: checks for OWL syntax errors and annotation completeness</w:t>
      </w:r>
    </w:p>
    <w:p>
      <w:pPr>
        <w:pStyle w:val="ListParagraph"/>
        <w:numPr>
          <w:ilvl w:val="0"/>
          <w:numId w:val="2"/>
        </w:numPr>
        <w:spacing w:after="80"/>
      </w:pPr>
      <w:r>
        <w:rPr>
          <w:rFonts w:ascii="Arial" w:cs="Arial" w:eastAsia="Arial" w:hAnsi="Arial"/>
          <w:sz w:val="22"/>
          <w:szCs w:val="22"/>
        </w:rPr>
        <w:t xml:space="preserve">SPARQL provenance audit: confirms every class declaration and axiom has required provenance annotations</w:t>
      </w:r>
    </w:p>
    <w:p>
      <w:pPr>
        <w:spacing w:after="160"/>
        <w:jc w:val="left"/>
      </w:pPr>
      <w:r>
        <w:rPr>
          <w:rFonts w:ascii="Arial" w:cs="Arial" w:eastAsia="Arial" w:hAnsi="Arial"/>
          <w:sz w:val="22"/>
          <w:szCs w:val="22"/>
        </w:rPr>
        <w:t xml:space="preserve">Batch-specific QC adds domain checks: Mondo cross-checks for logical definitions, label collision detection for subtree imports and extension codes, and source deprecation verification for external IDs.</w:t>
      </w:r>
    </w:p>
    <w:p>
      <w:pPr>
        <w:pStyle w:val="Heading2"/>
        <w:spacing w:after="160" w:before="280"/>
      </w:pPr>
      <w:r>
        <w:rPr>
          <w:rFonts w:ascii="Arial" w:cs="Arial" w:eastAsia="Arial" w:hAnsi="Arial"/>
          <w:b/>
          <w:bCs/>
          <w:color w:val="2E75B6"/>
          <w:sz w:val="26"/>
          <w:szCs w:val="26"/>
        </w:rPr>
        <w:t xml:space="preserve">4.5  Manifest Format</w:t>
      </w:r>
    </w:p>
    <w:p>
      <w:pPr>
        <w:spacing w:after="160"/>
        <w:jc w:val="left"/>
      </w:pPr>
      <w:r>
        <w:rPr>
          <w:rFonts w:ascii="Arial" w:cs="Arial" w:eastAsia="Arial" w:hAnsi="Arial"/>
          <w:sz w:val="22"/>
          <w:szCs w:val="22"/>
        </w:rPr>
        <w:t xml:space="preserve">Each batch is documented by a machine-readable JSON-LD manifest (manifest.json) using the icd: schema vocabulary, plus a human-readable Word document (Batch_Manifest.docx). The JSON-LD manifests include statistics, QC results, dependency declarations, license compatibility assessments, and sign-off status.</w:t>
      </w:r>
    </w:p>
    <w:p>
      <w:r>
        <w:br w:type="page"/>
      </w:r>
    </w:p>
    <w:p>
      <w:pPr>
        <w:pStyle w:val="Heading1"/>
        <w:spacing w:after="200" w:before="360"/>
      </w:pPr>
      <w:r>
        <w:rPr>
          <w:rFonts w:ascii="Arial" w:cs="Arial" w:eastAsia="Arial" w:hAnsi="Arial"/>
          <w:b/>
          <w:bCs/>
          <w:color w:val="1F4E79"/>
          <w:sz w:val="32"/>
          <w:szCs w:val="32"/>
        </w:rPr>
        <w:t xml:space="preserve">5  Batch Dependencies</w:t>
      </w:r>
    </w:p>
    <w:p>
      <w:pPr>
        <w:spacing w:after="160"/>
        <w:jc w:val="left"/>
      </w:pPr>
      <w:r>
        <w:rPr>
          <w:rFonts w:ascii="Arial" w:cs="Arial" w:eastAsia="Arial" w:hAnsi="Arial"/>
          <w:sz w:val="22"/>
          <w:szCs w:val="22"/>
        </w:rPr>
        <w:t xml:space="preserve">The five batches form a partially ordered dependency graph. The axis alignment batch is foundational; most other batches can proceed in parallel, with one critical dependency chain between the extension code proposal and the logical definition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31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Upstream Batch</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Downstream Batch</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Reason</w:t>
            </w:r>
          </w:p>
        </w:tc>
      </w:tr>
      <w:tr>
        <w:tc>
          <w:tcPr>
            <w:tcW w:type="dxa" w:w="24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axis-align-01</w:t>
            </w:r>
          </w:p>
        </w:tc>
        <w:tc>
          <w:tcPr>
            <w:tcW w:type="dxa" w:w="24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logdef-infectious-01</w:t>
            </w:r>
          </w:p>
        </w:tc>
        <w:tc>
          <w:tcPr>
            <w:tcW w:type="dxa" w:w="14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Full</w:t>
            </w:r>
          </w:p>
        </w:tc>
        <w:tc>
          <w:tcPr>
            <w:tcW w:type="dxa" w:w="316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Axis alignments needed for ELK to verify translated definitions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axis-align-01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subtree-infectious-01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Axis alignments needed for equivalence verification of imported entities</w:t>
            </w:r>
          </w:p>
        </w:tc>
      </w:tr>
      <w:tr>
        <w:tc>
          <w:tcPr>
            <w:tcW w:type="dxa" w:w="24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extcode-infectious-01</w:t>
            </w:r>
          </w:p>
        </w:tc>
        <w:tc>
          <w:tcPr>
            <w:tcW w:type="dxa" w:w="24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logdef-infectious-01</w:t>
            </w:r>
          </w:p>
        </w:tc>
        <w:tc>
          <w:tcPr>
            <w:tcW w:type="dxa" w:w="14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Partial</w:t>
            </w:r>
          </w:p>
        </w:tc>
        <w:tc>
          <w:tcPr>
            <w:tcW w:type="dxa" w:w="316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9 of 152 logical definitions require proposed extension codes as fillers; 143 can proceed independently</w:t>
            </w:r>
          </w:p>
        </w:tc>
      </w:tr>
    </w:tbl>
    <w:p>
      <w:pPr>
        <w:spacing w:after="160"/>
        <w:jc w:val="left"/>
      </w:pPr>
      <w:r>
        <w:rPr>
          <w:rFonts w:ascii="Arial" w:cs="Arial" w:eastAsia="Arial" w:hAnsi="Arial"/>
          <w:sz w:val="22"/>
          <w:szCs w:val="22"/>
        </w:rPr>
        <w:t xml:space="preserve"/>
      </w:r>
    </w:p>
    <w:p>
      <w:pPr>
        <w:spacing w:after="160"/>
        <w:jc w:val="left"/>
      </w:pPr>
      <w:r>
        <w:rPr>
          <w:rFonts w:ascii="Arial" w:cs="Arial" w:eastAsia="Arial" w:hAnsi="Arial"/>
          <w:sz w:val="22"/>
          <w:szCs w:val="22"/>
        </w:rPr>
        <w:t xml:space="preserve">The synonym enrichment batch (syn-infectious-01) has no upstream dependencies and can be reviewed independently. The subtree import and synonym batches have no mutual dependency.</w:t>
      </w:r>
    </w:p>
    <w:p>
      <w:pPr>
        <w:pStyle w:val="Heading2"/>
        <w:spacing w:after="160" w:before="280"/>
      </w:pPr>
      <w:r>
        <w:rPr>
          <w:rFonts w:ascii="Arial" w:cs="Arial" w:eastAsia="Arial" w:hAnsi="Arial"/>
          <w:b/>
          <w:bCs/>
          <w:color w:val="2E75B6"/>
          <w:sz w:val="26"/>
          <w:szCs w:val="26"/>
        </w:rPr>
        <w:t xml:space="preserve">5.1  Recommended Review Order</w:t>
      </w:r>
    </w:p>
    <w:p>
      <w:pPr>
        <w:pStyle w:val="ListParagraph"/>
        <w:numPr>
          <w:ilvl w:val="0"/>
          <w:numId w:val="3"/>
        </w:numPr>
        <w:spacing w:after="80"/>
      </w:pPr>
      <w:r>
        <w:rPr>
          <w:rFonts w:ascii="Arial" w:cs="Arial" w:eastAsia="Arial" w:hAnsi="Arial"/>
          <w:sz w:val="22"/>
          <w:szCs w:val="22"/>
        </w:rPr>
        <w:t xml:space="preserve">Axis-to-Relation Alignment (axis-align-01) — foundational prerequisite, smallest batch (12 axioms)</w:t>
      </w:r>
    </w:p>
    <w:p>
      <w:pPr>
        <w:pStyle w:val="ListParagraph"/>
        <w:numPr>
          <w:ilvl w:val="0"/>
          <w:numId w:val="3"/>
        </w:numPr>
        <w:spacing w:after="80"/>
      </w:pPr>
      <w:r>
        <w:rPr>
          <w:rFonts w:ascii="Arial" w:cs="Arial" w:eastAsia="Arial" w:hAnsi="Arial"/>
          <w:sz w:val="22"/>
          <w:szCs w:val="22"/>
        </w:rPr>
        <w:t xml:space="preserve">Synonym Enrichment (syn-infectious-01) — independent, annotation-only, no structural changes</w:t>
      </w:r>
    </w:p>
    <w:p>
      <w:pPr>
        <w:pStyle w:val="ListParagraph"/>
        <w:numPr>
          <w:ilvl w:val="0"/>
          <w:numId w:val="3"/>
        </w:numPr>
        <w:spacing w:after="80"/>
      </w:pPr>
      <w:r>
        <w:rPr>
          <w:rFonts w:ascii="Arial" w:cs="Arial" w:eastAsia="Arial" w:hAnsi="Arial"/>
          <w:sz w:val="22"/>
          <w:szCs w:val="22"/>
        </w:rPr>
        <w:t xml:space="preserve">Extension Code Proposal (extcode-infectious-01) — independent, but early approval unblocks logdef batch</w:t>
      </w:r>
    </w:p>
    <w:p>
      <w:pPr>
        <w:pStyle w:val="ListParagraph"/>
        <w:numPr>
          <w:ilvl w:val="0"/>
          <w:numId w:val="3"/>
        </w:numPr>
        <w:spacing w:after="80"/>
      </w:pPr>
      <w:r>
        <w:rPr>
          <w:rFonts w:ascii="Arial" w:cs="Arial" w:eastAsia="Arial" w:hAnsi="Arial"/>
          <w:sz w:val="22"/>
          <w:szCs w:val="22"/>
        </w:rPr>
        <w:t xml:space="preserve">Logical Definition Import (logdef-infectious-01) — 143 ready definitions can proceed after axis-align; remaining 9 after extcode approval</w:t>
      </w:r>
    </w:p>
    <w:p>
      <w:pPr>
        <w:pStyle w:val="ListParagraph"/>
        <w:numPr>
          <w:ilvl w:val="0"/>
          <w:numId w:val="3"/>
        </w:numPr>
        <w:spacing w:after="80"/>
      </w:pPr>
      <w:r>
        <w:rPr>
          <w:rFonts w:ascii="Arial" w:cs="Arial" w:eastAsia="Arial" w:hAnsi="Arial"/>
          <w:sz w:val="22"/>
          <w:szCs w:val="22"/>
        </w:rPr>
        <w:t xml:space="preserve">Subtree Import (subtree-infectious-01) — depends on axis-align for ELK verification</w:t>
      </w:r>
    </w:p>
    <w:p>
      <w:r>
        <w:br w:type="page"/>
      </w:r>
    </w:p>
    <w:p>
      <w:pPr>
        <w:pStyle w:val="Heading1"/>
        <w:spacing w:after="200" w:before="360"/>
      </w:pPr>
      <w:r>
        <w:rPr>
          <w:rFonts w:ascii="Arial" w:cs="Arial" w:eastAsia="Arial" w:hAnsi="Arial"/>
          <w:b/>
          <w:bCs/>
          <w:color w:val="1F4E79"/>
          <w:sz w:val="32"/>
          <w:szCs w:val="32"/>
        </w:rPr>
        <w:t xml:space="preserve">6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960"/>
        <w:gridCol w:w="1900"/>
      </w:tblGrid>
      <w:tr>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Ready</w:t>
            </w:r>
          </w:p>
        </w:tc>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Deferred / Review</w:t>
            </w:r>
          </w:p>
        </w:tc>
      </w:tr>
      <w:tr>
        <w:tc>
          <w:tcPr>
            <w:tcW w:type="dxa" w:w="35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Property alignment axioms</w:t>
            </w:r>
          </w:p>
        </w:tc>
        <w:tc>
          <w:tcPr>
            <w:tcW w:type="dxa" w:w="20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196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19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Synonym / inclusion terms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847</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847</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389 (manual review)</w:t>
            </w:r>
          </w:p>
        </w:tc>
      </w:tr>
      <w:tr>
        <w:tc>
          <w:tcPr>
            <w:tcW w:type="dxa" w:w="35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New Foundation entities</w:t>
            </w:r>
          </w:p>
        </w:tc>
        <w:tc>
          <w:tcPr>
            <w:tcW w:type="dxa" w:w="20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98</w:t>
            </w:r>
          </w:p>
        </w:tc>
        <w:tc>
          <w:tcPr>
            <w:tcW w:type="dxa" w:w="196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98</w:t>
            </w:r>
          </w:p>
        </w:tc>
        <w:tc>
          <w:tcPr>
            <w:tcW w:type="dxa" w:w="19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Logical definitions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152</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143</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 (pending extcodes)</w:t>
            </w:r>
          </w:p>
        </w:tc>
      </w:tr>
      <w:tr>
        <w:tc>
          <w:tcPr>
            <w:tcW w:type="dxa" w:w="35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Proposed extension codes</w:t>
            </w:r>
          </w:p>
        </w:tc>
        <w:tc>
          <w:tcPr>
            <w:tcW w:type="dxa" w:w="20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196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1900"/>
            <w:tcBorders>
              <w:top w:val="single" w:color="BBBBBB" w:sz="1"/>
              <w:left w:val="single" w:color="BBBBBB" w:sz="1"/>
              <w:bottom w:val="single" w:color="BBBBBB" w:sz="1"/>
              <w:right w:val="single" w:color="BBBBBB" w:sz="1"/>
            </w:tcBorders>
            <w:shd w:fill="EBF1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TOTAL ENRICHMENT ITEMS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1,118</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1,109</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9 + 389 review</w:t>
            </w:r>
          </w:p>
        </w:tc>
      </w:tr>
    </w:tbl>
    <w:p>
      <w:pPr>
        <w:spacing w:after="160"/>
        <w:jc w:val="left"/>
      </w:pPr>
      <w:r>
        <w:rPr>
          <w:rFonts w:ascii="Arial" w:cs="Arial" w:eastAsia="Arial" w:hAnsi="Arial"/>
          <w:sz w:val="22"/>
          <w:szCs w:val="22"/>
        </w:rPr>
        <w:t xml:space="preserve"/>
      </w:r>
    </w:p>
    <w:p>
      <w:pPr>
        <w:spacing w:after="160"/>
        <w:jc w:val="left"/>
      </w:pPr>
      <w:r>
        <w:rPr>
          <w:rFonts w:ascii="Arial" w:cs="Arial" w:eastAsia="Arial" w:hAnsi="Arial"/>
          <w:sz w:val="22"/>
          <w:szCs w:val="22"/>
        </w:rPr>
        <w:t xml:space="preserve">Foundation entities directly enriched: 312 (synonym batch) + 98 new (subtree batch) + 152 (logical definitions) = 562 entity-level touches. The axis alignment and extension code batches are infrastructure that enables downstream enrichment.</w:t>
      </w:r>
    </w:p>
    <w:p>
      <w:pPr>
        <w:pStyle w:val="Heading1"/>
        <w:spacing w:after="200" w:before="360"/>
      </w:pPr>
      <w:r>
        <w:rPr>
          <w:rFonts w:ascii="Arial" w:cs="Arial" w:eastAsia="Arial" w:hAnsi="Arial"/>
          <w:b/>
          <w:bCs/>
          <w:color w:val="1F4E79"/>
          <w:sz w:val="32"/>
          <w:szCs w:val="32"/>
        </w:rPr>
        <w:t xml:space="preserve">7  License Compatibility</w:t>
      </w:r>
    </w:p>
    <w:p>
      <w:pPr>
        <w:spacing w:after="160"/>
        <w:jc w:val="left"/>
      </w:pPr>
      <w:r>
        <w:rPr>
          <w:rFonts w:ascii="Arial" w:cs="Arial" w:eastAsia="Arial" w:hAnsi="Arial"/>
          <w:sz w:val="22"/>
          <w:szCs w:val="22"/>
        </w:rPr>
        <w:t xml:space="preserve">All external sources are permissively licensed and compatible with Foundation redistribution. Mondo Disease Ontology (CC-BY 4.0), Relation Ontology (CC-BY 4.0), PATO (CC-BY 4.0), UBERON (CC-BY 3.0), and NCBITaxon (public domain) are all used. SNOMED CT-derived content (41 synonym terms) has been explicitly excluded to avoid IHTSDO licensing constraints. ICD-11 extension codes are part of WHO-FIC content and carry no external license dependency.</w:t>
      </w:r>
    </w:p>
    <w:p>
      <w:pPr>
        <w:pStyle w:val="Heading1"/>
        <w:spacing w:after="200" w:before="360"/>
      </w:pPr>
      <w:r>
        <w:rPr>
          <w:rFonts w:ascii="Arial" w:cs="Arial" w:eastAsia="Arial" w:hAnsi="Arial"/>
          <w:b/>
          <w:bCs/>
          <w:color w:val="1F4E79"/>
          <w:sz w:val="32"/>
          <w:szCs w:val="32"/>
        </w:rPr>
        <w:t xml:space="preserve">8  Status and Next Steps</w:t>
      </w:r>
    </w:p>
    <w:p>
      <w:pPr>
        <w:spacing w:after="160"/>
        <w:jc w:val="left"/>
      </w:pPr>
      <w:r>
        <w:rPr>
          <w:rFonts w:ascii="Arial" w:cs="Arial" w:eastAsia="Arial" w:hAnsi="Arial"/>
          <w:sz w:val="22"/>
          <w:szCs w:val="22"/>
        </w:rPr>
        <w:t xml:space="preserve">All five batches are at “Proposed” status, awaiting editorial board review. Each batch has been submitted by Samson Tu (ORCID 0000-0002-0295-7821) and includes a signed manifest hash. Reviewer assignment and review dates are pending.</w:t>
      </w:r>
    </w:p>
    <w:p>
      <w:pPr>
        <w:spacing w:after="160"/>
        <w:jc w:val="left"/>
      </w:pPr>
      <w:r>
        <w:rPr>
          <w:rFonts w:ascii="Arial" w:cs="Arial" w:eastAsia="Arial" w:hAnsi="Arial"/>
          <w:sz w:val="22"/>
          <w:szCs w:val="22"/>
        </w:rPr>
        <w:t xml:space="preserve">Recommended next steps:</w:t>
      </w:r>
    </w:p>
    <w:p>
      <w:pPr>
        <w:pStyle w:val="ListParagraph"/>
        <w:numPr>
          <w:ilvl w:val="0"/>
          <w:numId w:val="2"/>
        </w:numPr>
        <w:spacing w:after="80"/>
      </w:pPr>
      <w:r>
        <w:rPr>
          <w:rFonts w:ascii="Arial" w:cs="Arial" w:eastAsia="Arial" w:hAnsi="Arial"/>
          <w:sz w:val="22"/>
          <w:szCs w:val="22"/>
        </w:rPr>
        <w:t xml:space="preserve">Schedule editorial board review, prioritizing the axis alignment batch as the foundational prerequisite</w:t>
      </w:r>
    </w:p>
    <w:p>
      <w:pPr>
        <w:pStyle w:val="ListParagraph"/>
        <w:numPr>
          <w:ilvl w:val="0"/>
          <w:numId w:val="2"/>
        </w:numPr>
        <w:spacing w:after="80"/>
      </w:pPr>
      <w:r>
        <w:rPr>
          <w:rFonts w:ascii="Arial" w:cs="Arial" w:eastAsia="Arial" w:hAnsi="Arial"/>
          <w:sz w:val="22"/>
          <w:szCs w:val="22"/>
        </w:rPr>
        <w:t xml:space="preserve">Review extension code proposals early to unblock the 9 deferred logical definitions</w:t>
      </w:r>
    </w:p>
    <w:p>
      <w:pPr>
        <w:pStyle w:val="ListParagraph"/>
        <w:numPr>
          <w:ilvl w:val="0"/>
          <w:numId w:val="2"/>
        </w:numPr>
        <w:spacing w:after="80"/>
      </w:pPr>
      <w:r>
        <w:rPr>
          <w:rFonts w:ascii="Arial" w:cs="Arial" w:eastAsia="Arial" w:hAnsi="Arial"/>
          <w:sz w:val="22"/>
          <w:szCs w:val="22"/>
        </w:rPr>
        <w:t xml:space="preserve">Initiate manual review of 389 related synonyms routed to the review queue</w:t>
      </w:r>
    </w:p>
    <w:p>
      <w:pPr>
        <w:pStyle w:val="ListParagraph"/>
        <w:numPr>
          <w:ilvl w:val="0"/>
          <w:numId w:val="2"/>
        </w:numPr>
        <w:spacing w:after="80"/>
      </w:pPr>
      <w:r>
        <w:rPr>
          <w:rFonts w:ascii="Arial" w:cs="Arial" w:eastAsia="Arial" w:hAnsi="Arial"/>
          <w:sz w:val="22"/>
          <w:szCs w:val="22"/>
        </w:rPr>
        <w:t xml:space="preserve">Plan follow-on batches: synonym enrichment for newly imported subtree entities, expansion to additional ICD-11 chapters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Foundation-Plus Batch Portfolio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75F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2026-05-05T04:24:38.107Z</dcterms:created>
  <dcterms:modified xsi:type="dcterms:W3CDTF">2026-05-05T04:24:38.107Z</dcterms:modified>
</cp:coreProperties>
</file>

<file path=docProps/custom.xml><?xml version="1.0" encoding="utf-8"?>
<Properties xmlns="http://schemas.openxmlformats.org/officeDocument/2006/custom-properties" xmlns:vt="http://schemas.openxmlformats.org/officeDocument/2006/docPropsVTypes"/>
</file>