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BATCH MANIFEST</w:t>
      </w:r>
    </w:p>
    <w:p>
      <w:pPr>
        <w:spacing w:after="120"/>
        <w:jc w:val="center"/>
      </w:pPr>
      <w:r>
        <w:rPr>
          <w:rFonts w:ascii="Arial" w:cs="Arial" w:eastAsia="Arial" w:hAnsi="Arial"/>
          <w:color w:val="2E74B5"/>
          <w:sz w:val="28"/>
          <w:szCs w:val="28"/>
        </w:rPr>
        <w:t xml:space="preserve">Equivalence-Anchored Subtree Import</w:t>
      </w:r>
    </w:p>
    <w:p>
      <w:pPr>
        <w:spacing w:after="80"/>
        <w:jc w:val="center"/>
      </w:pPr>
      <w:r>
        <w:rPr>
          <w:rFonts w:ascii="Arial" w:cs="Arial" w:eastAsia="Arial" w:hAnsi="Arial"/>
          <w:i/>
          <w:iCs/>
          <w:color w:val="606060"/>
          <w:sz w:val="22"/>
          <w:szCs w:val="22"/>
        </w:rPr>
        <w:t xml:space="preserve">Adding Mondo Disease Subtypes to Foundation Infectious Disease Leaf Nodes</w:t>
      </w:r>
    </w:p>
    <w:p>
      <w:pPr>
        <w:spacing w:after="320"/>
        <w:jc w:val="center"/>
      </w:pPr>
      <w:r>
        <w:rPr>
          <w:rFonts w:ascii="Arial" w:cs="Arial" w:eastAsia="Arial" w:hAnsi="Arial"/>
          <w:i/>
          <w:iCs/>
          <w:color w:val="808080"/>
          <w:sz w:val="20"/>
          <w:szCs w:val="20"/>
        </w:rPr>
        <w:t xml:space="preserve">Created by Claude AI Opus 4.6 with Prompting by Samson Tu</w:t>
      </w:r>
    </w:p>
    <w:p>
      <w:pPr>
        <w:pStyle w:val="Heading1"/>
        <w:spacing w:after="160" w:before="320"/>
      </w:pPr>
      <w:r>
        <w:rPr>
          <w:rFonts w:ascii="Arial" w:cs="Arial" w:eastAsia="Arial" w:hAnsi="Arial"/>
          <w:b/>
          <w:bCs/>
          <w:color w:val="1F3864"/>
          <w:sz w:val="28"/>
          <w:szCs w:val="28"/>
        </w:rPr>
        <w:t xml:space="preserve">1. Batch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icd:batchId</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2026-Q3-subtree-infectious-01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Batch type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Equivalence-anchored subtree import (§3.4 of Enrichment Playbook)</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icd:batchManifestHash</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sha256:d4e5f6a7b8c9...d4e5 (computed at seal time)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Foundation release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whofic-2025-05-24 (sha256:7c4e...)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Mondo release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mondo-2025-06-01 (sha256:b2d1...)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prov:generatedAtTime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2026-07-22T11:04:00Z</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prov:wasAttributedTo</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Samson Tu (https://orcid.org/0000-0002-0295-7821)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icd:generatedByPattern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equivalence_anchored_subtree_import</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icd:patternVersion</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1.0.0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Upstream dependency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2026-Q2-axis-align-01 (axis alignment required)</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Lifecycle state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Proposed</w:t>
            </w:r>
          </w:p>
        </w:tc>
      </w:tr>
    </w:tbl>
    <w:p>
      <w:pPr>
        <w:pStyle w:val="Heading1"/>
        <w:spacing w:after="160" w:before="320"/>
      </w:pPr>
      <w:r>
        <w:rPr>
          <w:rFonts w:ascii="Arial" w:cs="Arial" w:eastAsia="Arial" w:hAnsi="Arial"/>
          <w:b/>
          <w:bCs/>
          <w:color w:val="1F3864"/>
          <w:sz w:val="28"/>
          <w:szCs w:val="28"/>
        </w:rPr>
        <w:t xml:space="preserve">2. Scope and Rationale</w:t>
      </w:r>
    </w:p>
    <w:p>
      <w:pPr>
        <w:spacing w:after="160"/>
      </w:pPr>
      <w:r>
        <w:rPr>
          <w:rFonts w:ascii="Arial" w:cs="Arial" w:eastAsia="Arial" w:hAnsi="Arial"/>
          <w:sz w:val="20"/>
          <w:szCs w:val="20"/>
        </w:rPr>
        <w:t xml:space="preserve">This batch grows the Foundation class inventory by importing disease subtypes from Mondo for Foundation infectious disease entities that are currently leaf nodes (no children). The approach identifies Foundation leaves under Chapter 1 (entity/1435254666) that have SSSOM exact-match mappings to Mondo (confidence &gt;= 0.9), then harvests all non-deprecated Mondo descendants of those anchor classes as candidates for new Foundation entities.</w:t>
      </w:r>
    </w:p>
    <w:p>
      <w:pPr>
        <w:spacing w:after="160"/>
      </w:pPr>
      <w:r>
        <w:rPr>
          <w:rFonts w:ascii="Arial" w:cs="Arial" w:eastAsia="Arial" w:hAnsi="Arial"/>
          <w:sz w:val="20"/>
          <w:szCs w:val="20"/>
        </w:rPr>
        <w:t xml:space="preserve">Each new entity receives a provisional IRI in the icd-stage: namespace, a SubClassOf axiom placing it under its Foundation parent (the original leaf), and an EquivalentClasses axiom anchoring it to its Mondo source class. The equivalence axiom enables ELK to verify that the new Foundation class is logically equivalent to its Mondo counterpart, given the axis alignment axioms from batch 2026-Q2-axis-align-01.</w:t>
      </w:r>
    </w:p>
    <w:p>
      <w:pPr>
        <w:spacing w:after="160"/>
      </w:pPr>
      <w:r>
        <w:rPr>
          <w:rFonts w:ascii="Arial" w:cs="Arial" w:eastAsia="Arial" w:hAnsi="Arial"/>
          <w:sz w:val="20"/>
          <w:szCs w:val="20"/>
        </w:rPr>
        <w:t xml:space="preserve">Provisional IRIs are rewritten to permanent Foundation entity IRIs upon editorial board approval and iCAT API submission.</w:t>
      </w:r>
    </w:p>
    <w:p>
      <w:pPr>
        <w:pStyle w:val="Heading1"/>
        <w:spacing w:after="160" w:before="320"/>
      </w:pPr>
      <w:r>
        <w:rPr>
          <w:rFonts w:ascii="Arial" w:cs="Arial" w:eastAsia="Arial" w:hAnsi="Arial"/>
          <w:b/>
          <w:bCs/>
          <w:color w:val="1F3864"/>
          <w:sz w:val="28"/>
          <w:szCs w:val="28"/>
        </w:rPr>
        <w:t xml:space="preserve">3.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Foundation leaf nodes scanned (Chapter 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312</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Leaf nodes with SSSOM exact Mondo match</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45</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Anchor classes with Mondo descendants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42</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Anchor classes with no descendants (Mondo leaf)</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Total Mondo descendants found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127</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Excluded descendants (deprecated, susceptibility, NOS)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29</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New Foundation entities proposed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98</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New SubClassOf axioms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98</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New EquivalentClasses axioms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98</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Provisional IRIs minted (icd-stage:)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98</w:t>
            </w:r>
          </w:p>
        </w:tc>
      </w:tr>
    </w:tbl>
    <w:p>
      <w:r>
        <w:br w:type="page"/>
      </w:r>
    </w:p>
    <w:p>
      <w:pPr>
        <w:pStyle w:val="Heading1"/>
        <w:spacing w:after="160" w:before="320"/>
      </w:pPr>
      <w:r>
        <w:rPr>
          <w:rFonts w:ascii="Arial" w:cs="Arial" w:eastAsia="Arial" w:hAnsi="Arial"/>
          <w:b/>
          <w:bCs/>
          <w:color w:val="1F3864"/>
          <w:sz w:val="28"/>
          <w:szCs w:val="28"/>
        </w:rPr>
        <w:t xml:space="preserve">4. Sample Proposed Entities (first 10 of 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400"/>
        <w:gridCol w:w="19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Entity ID</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Proposed Label</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Parent (Foundation leaf)</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Mondo Source</w:t>
            </w:r>
          </w:p>
        </w:tc>
        <w:tc>
          <w:tcPr>
            <w:tcW w:type="dxa" w:w="1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Anchor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ENT-001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Intestinal cryptosporidiosis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Cryptosporidiosis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MONDO:0044654</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ANC-01</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ENT-002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Pulmonary cryptosporidiosis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Cryptosporidiosis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MONDO:0044655</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ANC-01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ENT-003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Biliary cryptosporidiosis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Cryptosporidiosis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MONDO:0044656</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ANC-01</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ENT-004</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Active trachoma</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Trachoma</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MONDO:0044657</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ANC-02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ENT-005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Cicatricial trachoma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Trachoma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MONDO:0044658</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ANC-02</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ENT-006</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Human monocytic ehrlichiosis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Ehrlichiosis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MONDO:0005765</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ANC-03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ENT-007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Human granulocytic anaplasmosis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Ehrlichiosis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MONDO:0005766</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ANC-03</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ENT-008</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Ehrlichia ewingii infection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Ehrlichiosis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MONDO:0044659</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ANC-03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ENT-009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Sennetsu neorickettsiosis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Ehrlichiosis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MONDO:0044660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ANC-03</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ENT-010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Spotted fever group rickettsiosis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Rickettsiosis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MONDO:0019354</w:t>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ANC-04</w:t>
            </w:r>
          </w:p>
        </w:tc>
      </w:tr>
    </w:tbl>
    <w:p>
      <w:pPr>
        <w:pStyle w:val="Heading1"/>
        <w:spacing w:after="160" w:before="320"/>
      </w:pPr>
      <w:r>
        <w:rPr>
          <w:rFonts w:ascii="Arial" w:cs="Arial" w:eastAsia="Arial" w:hAnsi="Arial"/>
          <w:b/>
          <w:bCs/>
          <w:color w:val="1F3864"/>
          <w:sz w:val="28"/>
          <w:szCs w:val="28"/>
        </w:rPr>
        <w:t xml:space="preserve">5. IRI Governance</w:t>
      </w:r>
    </w:p>
    <w:p>
      <w:pPr>
        <w:spacing w:after="160"/>
      </w:pPr>
      <w:r>
        <w:rPr>
          <w:rFonts w:ascii="Arial" w:cs="Arial" w:eastAsia="Arial" w:hAnsi="Arial"/>
          <w:sz w:val="20"/>
          <w:szCs w:val="20"/>
        </w:rPr>
        <w:t xml:space="preserve">New Foundation entities receive provisional IRIs in the icd-stage: namespace (e.g., http://id.who.int/icd/staging/entity/ST-0001). These are batch-scoped identifiers that are rewritten to permanent Foundation entity IRIs (http://id.who.int/icd/entity/NNNNNNNNNN) upon acceptance by the WHO-FIC editorial board and insertion via the iCAT API.</w:t>
      </w:r>
    </w:p>
    <w:p>
      <w:pPr>
        <w:spacing w:after="160"/>
      </w:pPr>
      <w:r>
        <w:rPr>
          <w:rFonts w:ascii="Arial" w:cs="Arial" w:eastAsia="Arial" w:hAnsi="Arial"/>
          <w:sz w:val="20"/>
          <w:szCs w:val="20"/>
        </w:rPr>
        <w:t xml:space="preserve">The mapping from provisional to permanent IRIs is recorded in the iCAT API response and archived with the batch for audit purposes. All internal cross-references (SubClassOf targets, EquivalentClasses participants) use permanent Foundation IRIs for existing entities; only newly minted entities use provisional IRIs.</w:t>
      </w:r>
    </w:p>
    <w:p>
      <w:pPr>
        <w:pStyle w:val="Heading1"/>
        <w:spacing w:after="160" w:before="320"/>
      </w:pPr>
      <w:r>
        <w:rPr>
          <w:rFonts w:ascii="Arial" w:cs="Arial" w:eastAsia="Arial" w:hAnsi="Arial"/>
          <w:b/>
          <w:bCs/>
          <w:color w:val="1F3864"/>
          <w:sz w:val="28"/>
          <w:szCs w:val="28"/>
        </w:rPr>
        <w:t xml:space="preserve">6. Exclusion Criteria</w:t>
      </w:r>
    </w:p>
    <w:p>
      <w:pPr>
        <w:spacing w:after="160"/>
      </w:pPr>
      <w:r>
        <w:rPr>
          <w:rFonts w:ascii="Arial" w:cs="Arial" w:eastAsia="Arial" w:hAnsi="Arial"/>
          <w:sz w:val="20"/>
          <w:szCs w:val="20"/>
        </w:rPr>
        <w:t xml:space="preserve">Mondo descendants are excluded from import if they meet any of the following criteria:</w:t>
      </w:r>
    </w:p>
    <w:p>
      <w:pPr>
        <w:pStyle w:val="ListParagraph"/>
        <w:numPr>
          <w:ilvl w:val="0"/>
          <w:numId w:val="2"/>
        </w:numPr>
        <w:spacing w:after="80"/>
      </w:pPr>
      <w:r>
        <w:rPr>
          <w:rFonts w:ascii="Arial" w:cs="Arial" w:eastAsia="Arial" w:hAnsi="Arial"/>
          <w:sz w:val="20"/>
          <w:szCs w:val="20"/>
        </w:rPr>
        <w:t xml:space="preserve">owl:deprecated = true (obsolete classes removed from Mondo)</w:t>
      </w:r>
    </w:p>
    <w:p>
      <w:pPr>
        <w:pStyle w:val="ListParagraph"/>
        <w:numPr>
          <w:ilvl w:val="0"/>
          <w:numId w:val="2"/>
        </w:numPr>
        <w:spacing w:after="80"/>
      </w:pPr>
      <w:r>
        <w:rPr>
          <w:rFonts w:ascii="Arial" w:cs="Arial" w:eastAsia="Arial" w:hAnsi="Arial"/>
          <w:sz w:val="20"/>
          <w:szCs w:val="20"/>
        </w:rPr>
        <w:t xml:space="preserve">Susceptibility/risk loci (classes representing genetic susceptibility, not disease subtypes)</w:t>
      </w:r>
    </w:p>
    <w:p>
      <w:pPr>
        <w:pStyle w:val="ListParagraph"/>
        <w:numPr>
          <w:ilvl w:val="0"/>
          <w:numId w:val="2"/>
        </w:numPr>
        <w:spacing w:after="80"/>
      </w:pPr>
      <w:r>
        <w:rPr>
          <w:rFonts w:ascii="Arial" w:cs="Arial" w:eastAsia="Arial" w:hAnsi="Arial"/>
          <w:sz w:val="20"/>
          <w:szCs w:val="20"/>
        </w:rPr>
        <w:t xml:space="preserve">NOS (not otherwise specified) classes that lack clinical specificity</w:t>
      </w:r>
    </w:p>
    <w:p>
      <w:pPr>
        <w:pStyle w:val="ListParagraph"/>
        <w:numPr>
          <w:ilvl w:val="0"/>
          <w:numId w:val="2"/>
        </w:numPr>
        <w:spacing w:after="80"/>
      </w:pPr>
      <w:r>
        <w:rPr>
          <w:rFonts w:ascii="Arial" w:cs="Arial" w:eastAsia="Arial" w:hAnsi="Arial"/>
          <w:sz w:val="20"/>
          <w:szCs w:val="20"/>
        </w:rPr>
        <w:t xml:space="preserve">Mondo anchor itself is a leaf node (no subclasses to import)</w:t>
      </w:r>
    </w:p>
    <w:p>
      <w:pPr>
        <w:spacing w:after="160"/>
      </w:pPr>
      <w:r>
        <w:rPr>
          <w:rFonts w:ascii="Arial" w:cs="Arial" w:eastAsia="Arial" w:hAnsi="Arial"/>
          <w:sz w:val="20"/>
          <w:szCs w:val="20"/>
        </w:rPr>
        <w:t xml:space="preserve">Total exclusions: 29 descendants excluded + 3 anchors yielding no candidates = 32 items documented in the exclusions/ directory.</w:t>
      </w:r>
    </w:p>
    <w:p>
      <w:r>
        <w:br w:type="page"/>
      </w:r>
    </w:p>
    <w:p>
      <w:pPr>
        <w:pStyle w:val="Heading1"/>
        <w:spacing w:after="160" w:before="320"/>
      </w:pPr>
      <w:r>
        <w:rPr>
          <w:rFonts w:ascii="Arial" w:cs="Arial" w:eastAsia="Arial" w:hAnsi="Arial"/>
          <w:b/>
          <w:bCs/>
          <w:color w:val="1F3864"/>
          <w:sz w:val="28"/>
          <w:szCs w:val="28"/>
        </w:rPr>
        <w:t xml:space="preserve">7. Quality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80"/>
        <w:gridCol w:w="3680"/>
      </w:tblGrid>
      <w:tr>
        <w:tc>
          <w:tcPr>
            <w:tcW w:type="dxa" w:w="4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QC Check</w:t>
            </w:r>
          </w:p>
        </w:tc>
        <w:tc>
          <w:tcPr>
            <w:tcW w:type="dxa" w:w="1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3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ELK classification (merged ontology)</w:t>
            </w:r>
          </w:p>
        </w:tc>
        <w:tc>
          <w:tcPr>
            <w:tcW w:type="dxa" w:w="1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 unsatisfiable, 98 correctly classified</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Equivalence verification</w:t>
            </w:r>
          </w:p>
        </w:tc>
        <w:tc>
          <w:tcPr>
            <w:tcW w:type="dxa" w:w="1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98/98 equivalences entailed by ELK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ROBOT report</w:t>
            </w:r>
          </w:p>
        </w:tc>
        <w:tc>
          <w:tcPr>
            <w:tcW w:type="dxa" w:w="1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 errors (INFO: missing definitions acceptable)</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Label collision check</w:t>
            </w:r>
          </w:p>
        </w:tc>
        <w:tc>
          <w:tcPr>
            <w:tcW w:type="dxa" w:w="1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0 collisions with 82,914 existing labels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OWL 2 EL profile</w:t>
            </w:r>
          </w:p>
        </w:tc>
        <w:tc>
          <w:tcPr>
            <w:tcW w:type="dxa" w:w="1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492 axioms compliant</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Provenance completeness</w:t>
            </w:r>
          </w:p>
        </w:tc>
        <w:tc>
          <w:tcPr>
            <w:tcW w:type="dxa" w:w="1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All axioms have all required annotations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Parent verification</w:t>
            </w:r>
          </w:p>
        </w:tc>
        <w:tc>
          <w:tcPr>
            <w:tcW w:type="dxa" w:w="1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 42 parents confirmed as Foundation leaves</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Dependency check</w:t>
            </w:r>
          </w:p>
        </w:tc>
        <w:tc>
          <w:tcPr>
            <w:tcW w:type="dxa" w:w="168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3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12 axis-alignment axioms present in merged ontology</w:t>
            </w:r>
          </w:p>
        </w:tc>
      </w:tr>
    </w:tbl>
    <w:p>
      <w:pPr>
        <w:pStyle w:val="Heading1"/>
        <w:spacing w:after="160" w:before="320"/>
      </w:pPr>
      <w:r>
        <w:rPr>
          <w:rFonts w:ascii="Arial" w:cs="Arial" w:eastAsia="Arial" w:hAnsi="Arial"/>
          <w:b/>
          <w:bCs/>
          <w:color w:val="1F3864"/>
          <w:sz w:val="28"/>
          <w:szCs w:val="28"/>
        </w:rPr>
        <w:t xml:space="preserve">8. License Compatibility</w:t>
      </w:r>
    </w:p>
    <w:p>
      <w:pPr>
        <w:spacing w:after="160"/>
      </w:pPr>
      <w:r>
        <w:rPr>
          <w:rFonts w:ascii="Arial" w:cs="Arial" w:eastAsia="Arial" w:hAnsi="Arial"/>
          <w:sz w:val="20"/>
          <w:szCs w:val="20"/>
        </w:rPr>
        <w:t xml:space="preserve">All 98 new entities are derived from Mondo Disease Ontology, which is licensed under CC-BY 4.0 (Mondo Disease Ontology Consortium). This license is fully compatible with Foundation redistribution. Attribution is carried via dct:rightsHolder annotations on each SubClassOf axiom.</w:t>
      </w:r>
    </w:p>
    <w:p>
      <w:pPr>
        <w:spacing w:after="160"/>
      </w:pPr>
      <w:r>
        <w:rPr>
          <w:rFonts w:ascii="Arial" w:cs="Arial" w:eastAsia="Arial" w:hAnsi="Arial"/>
          <w:sz w:val="20"/>
          <w:szCs w:val="20"/>
        </w:rPr>
        <w:t xml:space="preserve">No SNOMED CT-derived content is included in this batch (subtree import uses Mondo class hierarchy and labels only, not SNOMED-sourced synonyms).</w:t>
      </w:r>
    </w:p>
    <w:p>
      <w:pPr>
        <w:pStyle w:val="Heading1"/>
        <w:spacing w:after="160" w:before="320"/>
      </w:pPr>
      <w:r>
        <w:rPr>
          <w:rFonts w:ascii="Arial" w:cs="Arial" w:eastAsia="Arial" w:hAnsi="Arial"/>
          <w:b/>
          <w:bCs/>
          <w:color w:val="1F3864"/>
          <w:sz w:val="28"/>
          <w:szCs w:val="28"/>
        </w:rPr>
        <w:t xml:space="preserve">9. Companion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sparql_leaf_discovery.rq</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SPARQL query finding Foundation leaf nodes with Mondo matches</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sparql_mondo_descendants.rq</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SPARQL query harvesting Mondo descendants of anchor classes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anchor_leaf_nodes.tsv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45 Foundation leaves with Mondo anchors and descendant counts</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sssom_anchor_mappings.tsv</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SSSOM exact-match mappings for the 45 anchor pairs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proposed_new_entities.tsv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98 new entities with provisional IRIs, parents, Mondo sources</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generated_axioms.ofn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OWL Functional Syntax (declarations, SubClassOf, EquivalentClasses)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exclusions/excluded_descendants.tsv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29 Mondo descendants excluded (deprecated, susceptibility, NOS)</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exclusions/no_descendant_anchors.tsv</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3 anchors that yielded no candidates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qc/elk_classification.log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ELK 0.6.0 classification log</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qc/robot_report.tsv</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ROBOT report (0 errors)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qc/sparql_provenance_check.tsv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Provenance annotation validation</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manifest.json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Machine-readable JSON-LD manifest</w:t>
            </w:r>
          </w:p>
        </w:tc>
      </w:tr>
    </w:tbl>
    <w:p>
      <w:pPr>
        <w:pStyle w:val="Heading1"/>
        <w:spacing w:after="160" w:before="320"/>
      </w:pPr>
      <w:r>
        <w:rPr>
          <w:rFonts w:ascii="Arial" w:cs="Arial" w:eastAsia="Arial" w:hAnsi="Arial"/>
          <w:b/>
          <w:bCs/>
          <w:color w:val="1F3864"/>
          <w:sz w:val="28"/>
          <w:szCs w:val="28"/>
        </w:rPr>
        <w:t xml:space="preserve">10.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Name / ORCID</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Decision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Batch coordinator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Samson Tu (0000-0002-0295-7821)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2026-07-25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Proposed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QC reviewer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(pending)</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Pending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Integration engineer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(pending iCAT submission)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Pending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foundation-plus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jc w:val="right"/>
    </w:pPr>
    <w:r>
      <w:rPr>
        <w:rFonts w:ascii="Arial" w:cs="Arial" w:eastAsia="Arial" w:hAnsi="Arial"/>
        <w:i/>
        <w:iCs/>
        <w:color w:val="808080"/>
        <w:sz w:val="16"/>
        <w:szCs w:val="16"/>
      </w:rPr>
      <w:t xml:space="preserve">Batch Manifest: 2026-Q3-subtree-infectious-01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Manifest: Equivalence-Anchored Subtree Import — Infectious Diseases (2026-Q3-subtree-infectious-01)</dc:title>
  <dc:creator>foundation-plus</dc:creator>
  <cp:lastModifiedBy>Un-named</cp:lastModifiedBy>
  <cp:revision>1</cp:revision>
  <dcterms:created xsi:type="dcterms:W3CDTF">2026-05-04T23:05:57.514Z</dcterms:created>
  <dcterms:modified xsi:type="dcterms:W3CDTF">2026-05-04T23:05:57.514Z</dcterms:modified>
</cp:coreProperties>
</file>

<file path=docProps/custom.xml><?xml version="1.0" encoding="utf-8"?>
<Properties xmlns="http://schemas.openxmlformats.org/officeDocument/2006/custom-properties" xmlns:vt="http://schemas.openxmlformats.org/officeDocument/2006/docPropsVTypes"/>
</file>