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6C64" w14:textId="77777777" w:rsidR="00805DE2" w:rsidRDefault="00805DE2" w:rsidP="00EB3BC0">
      <w:pPr>
        <w:pStyle w:val="Heading2"/>
      </w:pPr>
      <w:r>
        <w:t xml:space="preserve">Course </w:t>
      </w:r>
      <w:r w:rsidRPr="002B6332">
        <w:t>Information</w:t>
      </w:r>
    </w:p>
    <w:p w14:paraId="0BF5F818" w14:textId="77777777" w:rsidR="00805DE2" w:rsidRDefault="00805DE2" w:rsidP="00EB3BC0">
      <w:pPr>
        <w:keepNext/>
        <w:tabs>
          <w:tab w:val="left" w:pos="2160"/>
        </w:tabs>
      </w:pPr>
    </w:p>
    <w:p w14:paraId="763B7A4C" w14:textId="6E2912BA" w:rsidR="002E5024" w:rsidRDefault="002E5024" w:rsidP="00EB3BC0">
      <w:pPr>
        <w:keepNext/>
        <w:tabs>
          <w:tab w:val="left" w:pos="2160"/>
        </w:tabs>
      </w:pPr>
      <w:r>
        <w:t>Course Number:</w:t>
      </w:r>
      <w:r>
        <w:tab/>
      </w:r>
      <w:r w:rsidR="003035FE">
        <w:rPr>
          <w:rFonts w:cs="Calibri"/>
        </w:rPr>
        <w:t xml:space="preserve">CSCE </w:t>
      </w:r>
      <w:r w:rsidR="007240EC">
        <w:rPr>
          <w:rFonts w:cs="Calibri"/>
        </w:rPr>
        <w:t>6</w:t>
      </w:r>
      <w:r w:rsidR="00CD06B6">
        <w:rPr>
          <w:rFonts w:cs="Calibri"/>
        </w:rPr>
        <w:t>89</w:t>
      </w:r>
    </w:p>
    <w:p w14:paraId="62CF9DAF" w14:textId="7FA9E74E" w:rsidR="002E5024" w:rsidRDefault="002E5024" w:rsidP="002E5024">
      <w:pPr>
        <w:tabs>
          <w:tab w:val="left" w:pos="2160"/>
        </w:tabs>
      </w:pPr>
      <w:r>
        <w:t>Course Title:</w:t>
      </w:r>
      <w:r>
        <w:tab/>
      </w:r>
      <w:r w:rsidR="003F1E34">
        <w:rPr>
          <w:rFonts w:cs="Calibri"/>
        </w:rPr>
        <w:t xml:space="preserve">Special Topics in </w:t>
      </w:r>
      <w:r w:rsidR="007240EC">
        <w:rPr>
          <w:rFonts w:cs="Calibri"/>
        </w:rPr>
        <w:t>Modern Algorithms</w:t>
      </w:r>
      <w:r w:rsidR="00B81AAC">
        <w:rPr>
          <w:rFonts w:cs="Calibri"/>
        </w:rPr>
        <w:t xml:space="preserve"> </w:t>
      </w:r>
      <w:r w:rsidR="003E4143">
        <w:rPr>
          <w:rFonts w:cs="Calibri"/>
        </w:rPr>
        <w:t>for</w:t>
      </w:r>
      <w:r w:rsidR="00B81AAC">
        <w:rPr>
          <w:rFonts w:cs="Calibri"/>
        </w:rPr>
        <w:t xml:space="preserve"> Data Science</w:t>
      </w:r>
    </w:p>
    <w:p w14:paraId="51E127F4" w14:textId="6F6A20BA" w:rsidR="002E5024" w:rsidRDefault="002E5024" w:rsidP="002E5024">
      <w:pPr>
        <w:tabs>
          <w:tab w:val="left" w:pos="2160"/>
        </w:tabs>
      </w:pPr>
      <w:r>
        <w:t>Section:</w:t>
      </w:r>
      <w:r>
        <w:tab/>
      </w:r>
      <w:r w:rsidR="009021E5">
        <w:rPr>
          <w:rFonts w:cs="Calibri"/>
        </w:rPr>
        <w:t>608</w:t>
      </w:r>
    </w:p>
    <w:p w14:paraId="45C68C43" w14:textId="1EA8B010" w:rsidR="002E5024" w:rsidRDefault="002E5024" w:rsidP="002E5024">
      <w:pPr>
        <w:tabs>
          <w:tab w:val="left" w:pos="2160"/>
        </w:tabs>
      </w:pPr>
      <w:r>
        <w:t xml:space="preserve">Time: </w:t>
      </w:r>
      <w:r>
        <w:tab/>
      </w:r>
      <w:r w:rsidR="009021E5">
        <w:rPr>
          <w:rFonts w:cs="Calibri"/>
        </w:rPr>
        <w:t xml:space="preserve">MWF </w:t>
      </w:r>
      <w:r w:rsidR="009021E5">
        <w:t>1:50-2:40 PM CT</w:t>
      </w:r>
    </w:p>
    <w:p w14:paraId="6CFFD143" w14:textId="14FA9513" w:rsidR="002E5024" w:rsidRDefault="002E5024" w:rsidP="002E5024">
      <w:pPr>
        <w:tabs>
          <w:tab w:val="left" w:pos="2160"/>
        </w:tabs>
      </w:pPr>
      <w:r>
        <w:t>Location:</w:t>
      </w:r>
      <w:r>
        <w:tab/>
      </w:r>
      <w:hyperlink r:id="rId7" w:history="1">
        <w:r w:rsidR="009021E5">
          <w:rPr>
            <w:rStyle w:val="Hyperlink"/>
          </w:rPr>
          <w:t>HRBB</w:t>
        </w:r>
      </w:hyperlink>
      <w:r w:rsidR="009021E5">
        <w:t xml:space="preserve"> 126</w:t>
      </w:r>
    </w:p>
    <w:p w14:paraId="2D0BD8E6" w14:textId="40EC8EAA" w:rsidR="00281D66" w:rsidRDefault="00281D66" w:rsidP="002E5024">
      <w:pPr>
        <w:tabs>
          <w:tab w:val="left" w:pos="2160"/>
        </w:tabs>
      </w:pPr>
      <w:r>
        <w:t>Credit Hours:</w:t>
      </w:r>
      <w:r>
        <w:tab/>
      </w:r>
      <w:r w:rsidR="003035FE">
        <w:rPr>
          <w:rFonts w:cs="Calibri"/>
        </w:rPr>
        <w:t>3</w:t>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15EE2A63" w:rsidR="00281D66" w:rsidRPr="00BF4E51" w:rsidRDefault="002E5024" w:rsidP="002E5024">
      <w:pPr>
        <w:tabs>
          <w:tab w:val="left" w:pos="2160"/>
        </w:tabs>
      </w:pPr>
      <w:r>
        <w:t>Instructor:</w:t>
      </w:r>
      <w:r>
        <w:tab/>
      </w:r>
      <w:r w:rsidR="007240EC">
        <w:rPr>
          <w:rFonts w:ascii="Calibri" w:eastAsia="Trebuchet MS" w:hAnsi="Calibri" w:cs="Calibri"/>
          <w:lang w:eastAsia="ja-JP"/>
        </w:rPr>
        <w:t>Samson Zhou</w:t>
      </w:r>
    </w:p>
    <w:p w14:paraId="4894FEB1" w14:textId="53E46BC3" w:rsidR="002E5024" w:rsidRPr="00BF4E51" w:rsidRDefault="002E5024" w:rsidP="002E5024">
      <w:pPr>
        <w:tabs>
          <w:tab w:val="left" w:pos="2160"/>
        </w:tabs>
      </w:pPr>
      <w:r w:rsidRPr="00BF4E51">
        <w:t>Office:</w:t>
      </w:r>
      <w:r w:rsidRPr="00BF4E51">
        <w:tab/>
      </w:r>
      <w:r w:rsidR="007D69E6">
        <w:rPr>
          <w:rFonts w:cs="Calibri"/>
        </w:rPr>
        <w:t>PETR 424</w:t>
      </w:r>
    </w:p>
    <w:p w14:paraId="16FBAB76" w14:textId="584521CE" w:rsidR="002E5024" w:rsidRPr="00BF4E51" w:rsidRDefault="002E5024" w:rsidP="002E5024">
      <w:pPr>
        <w:tabs>
          <w:tab w:val="left" w:pos="2160"/>
        </w:tabs>
      </w:pPr>
      <w:r w:rsidRPr="00BF4E51">
        <w:t>Phone:</w:t>
      </w:r>
      <w:r w:rsidRPr="00BF4E51">
        <w:tab/>
      </w:r>
      <w:r w:rsidR="007240EC">
        <w:rPr>
          <w:rFonts w:cs="Calibri"/>
        </w:rPr>
        <w:t>979-492-8404</w:t>
      </w:r>
    </w:p>
    <w:p w14:paraId="4FED9B91" w14:textId="44D062B7" w:rsidR="002E5024" w:rsidRPr="00BF4E51" w:rsidRDefault="002E5024" w:rsidP="002E5024">
      <w:pPr>
        <w:tabs>
          <w:tab w:val="left" w:pos="2160"/>
        </w:tabs>
      </w:pPr>
      <w:r w:rsidRPr="00BF4E51">
        <w:t>E-Mail:</w:t>
      </w:r>
      <w:r w:rsidRPr="00BF4E51">
        <w:tab/>
      </w:r>
      <w:r w:rsidR="007240EC">
        <w:rPr>
          <w:rFonts w:cs="Calibri"/>
        </w:rPr>
        <w:t>samsonzhou@gmail.com</w:t>
      </w:r>
    </w:p>
    <w:p w14:paraId="6975F160" w14:textId="56F939CC" w:rsidR="002E5024" w:rsidRDefault="002E5024" w:rsidP="002E5024">
      <w:pPr>
        <w:tabs>
          <w:tab w:val="left" w:pos="2160"/>
        </w:tabs>
      </w:pPr>
      <w:r w:rsidRPr="00BF4E51">
        <w:t>Office Hours:</w:t>
      </w:r>
      <w:r w:rsidRPr="00BF4E51">
        <w:tab/>
      </w:r>
      <w:r w:rsidR="007D69E6">
        <w:rPr>
          <w:rFonts w:cs="Calibri"/>
        </w:rPr>
        <w:t>Wednesdays 3-4 PM CT, or by appointment</w:t>
      </w:r>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740BF443" w:rsidR="00F63C1E" w:rsidRPr="00C37313" w:rsidRDefault="003E4143" w:rsidP="00F63C1E">
      <w:pPr>
        <w:rPr>
          <w:i/>
        </w:rPr>
      </w:pPr>
      <w:r>
        <w:t>Algorithms for data science</w:t>
      </w:r>
      <w:r w:rsidR="007240EC">
        <w:t>; sublinear algorithms; models of computation</w:t>
      </w:r>
      <w:r w:rsidR="00DA5CF3">
        <w:t xml:space="preserve"> for big data</w:t>
      </w:r>
      <w:r w:rsidR="007240EC">
        <w:t>; differential privacy</w:t>
      </w:r>
      <w:r>
        <w:t>.</w:t>
      </w:r>
      <w:r w:rsidR="00D8586C">
        <w:t xml:space="preserve"> </w:t>
      </w:r>
      <w:r w:rsidR="007240EC">
        <w:t xml:space="preserve"> </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581680BA" w:rsidR="00281D66" w:rsidRPr="00C37313" w:rsidRDefault="003F1E34" w:rsidP="00F63C1E">
      <w:pPr>
        <w:rPr>
          <w:i/>
        </w:rPr>
      </w:pPr>
      <w:r>
        <w:t xml:space="preserve">Graduate classification; </w:t>
      </w:r>
      <w:r w:rsidR="007240EC">
        <w:t xml:space="preserve">CSCE 629 or </w:t>
      </w:r>
      <w:r>
        <w:t xml:space="preserve">equivalent or </w:t>
      </w:r>
      <w:r w:rsidR="007240EC">
        <w:t>approval of instructor</w:t>
      </w:r>
      <w:r w:rsidR="003035FE">
        <w:rPr>
          <w:i/>
        </w:rPr>
        <w:t>.</w:t>
      </w:r>
    </w:p>
    <w:p w14:paraId="59711063" w14:textId="35095672" w:rsidR="00281D66" w:rsidRDefault="00281D66" w:rsidP="00F63C1E"/>
    <w:p w14:paraId="63AEB1F3" w14:textId="77777777" w:rsidR="00F25DAF" w:rsidRDefault="00F25DAF" w:rsidP="00F25DAF">
      <w:pPr>
        <w:pStyle w:val="Heading3"/>
      </w:pPr>
      <w:r>
        <w:t>Special Course Designation</w:t>
      </w:r>
    </w:p>
    <w:p w14:paraId="3FEDA2CD" w14:textId="77777777" w:rsidR="00F25DAF" w:rsidRDefault="00F25DAF" w:rsidP="00F25DAF">
      <w:pPr>
        <w:keepNext/>
      </w:pPr>
    </w:p>
    <w:p w14:paraId="1A8B5F0D" w14:textId="77777777" w:rsidR="00F25DAF" w:rsidRPr="00C37313" w:rsidRDefault="00F25DAF" w:rsidP="00F25DAF">
      <w:pPr>
        <w:rPr>
          <w:i/>
        </w:rPr>
      </w:pPr>
      <w:r>
        <w:rPr>
          <w:i/>
        </w:rPr>
        <w:t>N/A</w:t>
      </w:r>
    </w:p>
    <w:p w14:paraId="424613A1" w14:textId="77777777" w:rsidR="00F25DAF" w:rsidRDefault="00F25DAF" w:rsidP="00F63C1E"/>
    <w:p w14:paraId="587D8D11" w14:textId="77777777" w:rsidR="00281D66" w:rsidRDefault="00281D66" w:rsidP="00805DE2">
      <w:pPr>
        <w:pStyle w:val="Heading3"/>
      </w:pPr>
      <w:r>
        <w:t>Course Learning Outcomes</w:t>
      </w:r>
    </w:p>
    <w:p w14:paraId="1023686D" w14:textId="77777777" w:rsidR="00CD06B6" w:rsidRDefault="00CD06B6" w:rsidP="00281D66">
      <w:pPr>
        <w:keepNext/>
      </w:pPr>
    </w:p>
    <w:p w14:paraId="7637C984" w14:textId="77777777" w:rsidR="003035FE" w:rsidRDefault="003035FE" w:rsidP="003035FE">
      <w:pPr>
        <w:rPr>
          <w:i/>
        </w:rPr>
      </w:pPr>
      <w:r w:rsidRPr="009D4B47">
        <w:rPr>
          <w:i/>
        </w:rPr>
        <w:t>Upon finishing this class, students should be able to</w:t>
      </w:r>
      <w:r>
        <w:rPr>
          <w:i/>
        </w:rPr>
        <w:t>:</w:t>
      </w:r>
    </w:p>
    <w:p w14:paraId="277DF9DD" w14:textId="290F7F64" w:rsidR="00281D66" w:rsidRDefault="00281D66" w:rsidP="00281D66"/>
    <w:p w14:paraId="02179321" w14:textId="6575017A" w:rsidR="004F490C" w:rsidRDefault="004F490C" w:rsidP="00FC447F">
      <w:pPr>
        <w:pStyle w:val="ListBullet"/>
        <w:rPr>
          <w:rFonts w:cs="Calibri"/>
        </w:rPr>
      </w:pPr>
      <w:r>
        <w:rPr>
          <w:rFonts w:cs="Calibri"/>
        </w:rPr>
        <w:t>Describe the motivation and statement of c</w:t>
      </w:r>
      <w:r w:rsidR="001C0C3F">
        <w:rPr>
          <w:rFonts w:cs="Calibri"/>
        </w:rPr>
        <w:t>entral</w:t>
      </w:r>
      <w:r>
        <w:rPr>
          <w:rFonts w:cs="Calibri"/>
        </w:rPr>
        <w:t xml:space="preserve"> data science problems</w:t>
      </w:r>
      <w:r w:rsidR="001B2404">
        <w:rPr>
          <w:rFonts w:cs="Calibri"/>
        </w:rPr>
        <w:t>, measured by the midterm presentation</w:t>
      </w:r>
    </w:p>
    <w:p w14:paraId="31E0A6C5" w14:textId="06B6FD1E" w:rsidR="00A41C3D" w:rsidRDefault="00A41C3D" w:rsidP="00FC447F">
      <w:pPr>
        <w:pStyle w:val="ListBullet"/>
        <w:rPr>
          <w:rFonts w:cs="Calibri"/>
        </w:rPr>
      </w:pPr>
      <w:r>
        <w:rPr>
          <w:rFonts w:cs="Calibri"/>
        </w:rPr>
        <w:t>Work in various big data models of computation</w:t>
      </w:r>
      <w:r w:rsidR="001B2404">
        <w:rPr>
          <w:rFonts w:cs="Calibri"/>
        </w:rPr>
        <w:t>, leading toward the final project</w:t>
      </w:r>
    </w:p>
    <w:p w14:paraId="63F79B9A" w14:textId="550E2287" w:rsidR="00FC447F" w:rsidRPr="004F490C" w:rsidRDefault="003F1E34" w:rsidP="004F490C">
      <w:pPr>
        <w:pStyle w:val="ListBullet"/>
        <w:rPr>
          <w:rFonts w:cs="Calibri"/>
        </w:rPr>
      </w:pPr>
      <w:r>
        <w:rPr>
          <w:rFonts w:cs="Calibri"/>
        </w:rPr>
        <w:t xml:space="preserve">Understand the </w:t>
      </w:r>
      <w:r w:rsidR="004E41DC">
        <w:rPr>
          <w:rFonts w:cs="Calibri"/>
        </w:rPr>
        <w:t>fundamentals of</w:t>
      </w:r>
      <w:r w:rsidR="00A41C3D">
        <w:rPr>
          <w:rFonts w:cs="Calibri"/>
        </w:rPr>
        <w:t xml:space="preserve"> private data analysis</w:t>
      </w:r>
      <w:r>
        <w:rPr>
          <w:rFonts w:cs="Calibri"/>
        </w:rPr>
        <w:t xml:space="preserve"> </w:t>
      </w:r>
    </w:p>
    <w:p w14:paraId="5296F605" w14:textId="242F9689" w:rsidR="00FC447F" w:rsidRPr="006036A8" w:rsidRDefault="001C0C3F" w:rsidP="006036A8">
      <w:pPr>
        <w:pStyle w:val="ListBullet"/>
        <w:rPr>
          <w:rFonts w:cs="Calibri"/>
        </w:rPr>
      </w:pPr>
      <w:r>
        <w:rPr>
          <w:rFonts w:cs="Calibri"/>
        </w:rPr>
        <w:t>Demonstrate</w:t>
      </w:r>
      <w:r w:rsidR="004F490C">
        <w:rPr>
          <w:rFonts w:cs="Calibri"/>
        </w:rPr>
        <w:t xml:space="preserve"> awareness of </w:t>
      </w:r>
      <w:r>
        <w:rPr>
          <w:rFonts w:cs="Calibri"/>
        </w:rPr>
        <w:t>common</w:t>
      </w:r>
      <w:r w:rsidR="004F490C">
        <w:rPr>
          <w:rFonts w:cs="Calibri"/>
        </w:rPr>
        <w:t xml:space="preserve"> algorithmic techniques</w:t>
      </w:r>
      <w:r w:rsidR="006036A8" w:rsidRPr="006036A8">
        <w:rPr>
          <w:rFonts w:cs="Calibri"/>
        </w:rPr>
        <w:t xml:space="preserve">, </w:t>
      </w:r>
      <w:r w:rsidR="001B2404" w:rsidRPr="006036A8">
        <w:rPr>
          <w:rFonts w:cs="Calibri"/>
        </w:rPr>
        <w:t>through scribe notes</w:t>
      </w:r>
    </w:p>
    <w:p w14:paraId="26E75BAB" w14:textId="77777777" w:rsidR="00281D66" w:rsidRDefault="00281D66" w:rsidP="00805DE2">
      <w:pPr>
        <w:pStyle w:val="Heading3"/>
      </w:pPr>
      <w:r>
        <w:t>Textbook and/or Resource Materials</w:t>
      </w:r>
    </w:p>
    <w:p w14:paraId="14B4746F" w14:textId="77777777" w:rsidR="00281D66" w:rsidRDefault="00281D66" w:rsidP="00281D66">
      <w:pPr>
        <w:keepNext/>
      </w:pPr>
    </w:p>
    <w:p w14:paraId="778FC5D5" w14:textId="4AFE45DE" w:rsidR="00DC3CEE" w:rsidRDefault="00DC3CEE" w:rsidP="00281D66">
      <w:pPr>
        <w:rPr>
          <w:i/>
        </w:rPr>
      </w:pPr>
      <w:r>
        <w:rPr>
          <w:i/>
        </w:rPr>
        <w:t>No textbook required or recommended.</w:t>
      </w:r>
      <w:r w:rsidR="003F1E34">
        <w:rPr>
          <w:i/>
        </w:rPr>
        <w:t xml:space="preserve"> LaTeX template for scribe notes will be provided. </w:t>
      </w:r>
    </w:p>
    <w:p w14:paraId="56DE5DFB" w14:textId="77777777" w:rsidR="00281D66" w:rsidRDefault="00281D66" w:rsidP="00281D66"/>
    <w:p w14:paraId="177846D6" w14:textId="5C451DE5" w:rsidR="003035FE" w:rsidRDefault="003035FE" w:rsidP="003035FE">
      <w:pPr>
        <w:rPr>
          <w:i/>
        </w:rPr>
      </w:pPr>
      <w:r>
        <w:rPr>
          <w:i/>
        </w:rPr>
        <w:lastRenderedPageBreak/>
        <w:t>Online resource:</w:t>
      </w:r>
    </w:p>
    <w:p w14:paraId="13BC311F" w14:textId="5803816E" w:rsidR="003035FE" w:rsidRPr="00DC3CEE" w:rsidRDefault="00DC3CEE" w:rsidP="00E743D8">
      <w:pPr>
        <w:pStyle w:val="ListParagraph"/>
        <w:numPr>
          <w:ilvl w:val="0"/>
          <w:numId w:val="10"/>
        </w:numPr>
        <w:rPr>
          <w:i/>
        </w:rPr>
      </w:pPr>
      <w:r w:rsidRPr="00DC3CEE">
        <w:rPr>
          <w:i/>
        </w:rPr>
        <w:t>Class webpage for</w:t>
      </w:r>
      <w:r w:rsidR="003035FE" w:rsidRPr="00DC3CEE">
        <w:rPr>
          <w:i/>
        </w:rPr>
        <w:t xml:space="preserve"> dis</w:t>
      </w:r>
      <w:r>
        <w:rPr>
          <w:i/>
        </w:rPr>
        <w:t>seminating</w:t>
      </w:r>
      <w:r w:rsidR="003035FE" w:rsidRPr="00DC3CEE">
        <w:rPr>
          <w:i/>
        </w:rPr>
        <w:t xml:space="preserve"> </w:t>
      </w:r>
      <w:r w:rsidRPr="00DC3CEE">
        <w:rPr>
          <w:i/>
        </w:rPr>
        <w:t xml:space="preserve">relevant </w:t>
      </w:r>
      <w:r w:rsidR="003035FE" w:rsidRPr="00DC3CEE">
        <w:rPr>
          <w:i/>
        </w:rPr>
        <w:t>course materials</w:t>
      </w:r>
      <w:r>
        <w:t xml:space="preserve">. </w:t>
      </w:r>
    </w:p>
    <w:p w14:paraId="26E90733" w14:textId="54C60060" w:rsidR="00103FEC" w:rsidRDefault="00103FEC" w:rsidP="00281D66">
      <w:pPr>
        <w:rPr>
          <w:i/>
        </w:rPr>
      </w:pPr>
    </w:p>
    <w:p w14:paraId="2CD3CC62" w14:textId="77777777" w:rsidR="00281D66" w:rsidRDefault="00281D66" w:rsidP="00B23E26">
      <w:pPr>
        <w:pStyle w:val="Heading3"/>
      </w:pPr>
      <w:r>
        <w:t>Grading Policy</w:t>
      </w:r>
    </w:p>
    <w:p w14:paraId="54549DF2" w14:textId="77777777" w:rsidR="00281D66" w:rsidRDefault="00281D66" w:rsidP="00B23E26">
      <w:pPr>
        <w:keepNext/>
      </w:pPr>
    </w:p>
    <w:p w14:paraId="59C20700" w14:textId="070FEC51" w:rsidR="00BF4B92" w:rsidRDefault="009B7FE5" w:rsidP="00BF4B92">
      <w:r>
        <w:rPr>
          <w:i/>
        </w:rPr>
        <w:t>Scribe</w:t>
      </w:r>
      <w:r w:rsidR="0073407F">
        <w:rPr>
          <w:i/>
        </w:rPr>
        <w:t xml:space="preserve"> </w:t>
      </w:r>
      <w:r w:rsidR="006036A8">
        <w:rPr>
          <w:i/>
        </w:rPr>
        <w:t>n</w:t>
      </w:r>
      <w:r>
        <w:rPr>
          <w:i/>
        </w:rPr>
        <w:t>otes</w:t>
      </w:r>
      <w:r w:rsidR="006036A8">
        <w:rPr>
          <w:i/>
        </w:rPr>
        <w:t xml:space="preserve"> (</w:t>
      </w:r>
      <w:r w:rsidR="00EA1445">
        <w:rPr>
          <w:i/>
        </w:rPr>
        <w:t xml:space="preserve">succinct </w:t>
      </w:r>
      <w:r w:rsidR="006036A8">
        <w:rPr>
          <w:i/>
        </w:rPr>
        <w:t xml:space="preserve">LaTeX summary of lectures) </w:t>
      </w:r>
      <w:r w:rsidR="0073407F">
        <w:rPr>
          <w:i/>
        </w:rPr>
        <w:t>2</w:t>
      </w:r>
      <w:r>
        <w:rPr>
          <w:i/>
        </w:rPr>
        <w:t xml:space="preserve">0%, </w:t>
      </w:r>
      <w:r w:rsidR="006036A8">
        <w:rPr>
          <w:i/>
        </w:rPr>
        <w:t>m</w:t>
      </w:r>
      <w:r>
        <w:rPr>
          <w:i/>
        </w:rPr>
        <w:t xml:space="preserve">idterm </w:t>
      </w:r>
      <w:r w:rsidR="006036A8">
        <w:rPr>
          <w:i/>
        </w:rPr>
        <w:t>p</w:t>
      </w:r>
      <w:r>
        <w:rPr>
          <w:i/>
        </w:rPr>
        <w:t xml:space="preserve">resentation </w:t>
      </w:r>
      <w:r w:rsidR="0073407F">
        <w:rPr>
          <w:i/>
        </w:rPr>
        <w:t>35</w:t>
      </w:r>
      <w:r>
        <w:rPr>
          <w:i/>
        </w:rPr>
        <w:t xml:space="preserve">%, </w:t>
      </w:r>
      <w:r w:rsidR="006036A8">
        <w:rPr>
          <w:i/>
        </w:rPr>
        <w:t>f</w:t>
      </w:r>
      <w:r>
        <w:rPr>
          <w:i/>
        </w:rPr>
        <w:t xml:space="preserve">inal </w:t>
      </w:r>
      <w:r w:rsidR="006036A8">
        <w:rPr>
          <w:i/>
        </w:rPr>
        <w:t>p</w:t>
      </w:r>
      <w:r>
        <w:rPr>
          <w:i/>
        </w:rPr>
        <w:t>roject 4</w:t>
      </w:r>
      <w:r w:rsidR="0073407F">
        <w:rPr>
          <w:i/>
        </w:rPr>
        <w:t>5</w:t>
      </w:r>
      <w:r>
        <w:rPr>
          <w:i/>
        </w:rPr>
        <w:t>%</w:t>
      </w:r>
    </w:p>
    <w:p w14:paraId="363395B5" w14:textId="77777777" w:rsidR="003035FE" w:rsidRDefault="003035FE" w:rsidP="003035FE">
      <w:pPr>
        <w:pStyle w:val="Heading3"/>
      </w:pPr>
    </w:p>
    <w:p w14:paraId="3445FFFC" w14:textId="495753B8" w:rsidR="003035FE" w:rsidRDefault="003035FE" w:rsidP="003035FE">
      <w:pPr>
        <w:pStyle w:val="Heading3"/>
      </w:pPr>
      <w:r>
        <w:t>Late Work Policy</w:t>
      </w:r>
    </w:p>
    <w:p w14:paraId="4100C9AC" w14:textId="77777777" w:rsidR="00805DE2" w:rsidRDefault="00805DE2" w:rsidP="00B23E26">
      <w:pPr>
        <w:keepNext/>
      </w:pPr>
    </w:p>
    <w:p w14:paraId="4F7DAB17" w14:textId="5A648221" w:rsidR="003035FE" w:rsidRDefault="003035FE" w:rsidP="004E41DC">
      <w:pPr>
        <w:keepNext/>
      </w:pPr>
      <w:r>
        <w:t xml:space="preserve">With exception of excused absences allowed by student rule 7, </w:t>
      </w:r>
      <w:r w:rsidR="004E41DC">
        <w:t>no late work will be accepted.</w:t>
      </w:r>
    </w:p>
    <w:p w14:paraId="61C84F34" w14:textId="77777777" w:rsidR="00AD4F09" w:rsidRDefault="00AD4F09" w:rsidP="00AD4F09">
      <w:pPr>
        <w:rPr>
          <w:i/>
        </w:rPr>
      </w:pPr>
    </w:p>
    <w:p w14:paraId="57E6599D" w14:textId="7FA7071B" w:rsidR="00805DE2" w:rsidRPr="00AD4F09" w:rsidRDefault="00805DE2" w:rsidP="00AD4F09">
      <w:pPr>
        <w:rPr>
          <w:i/>
        </w:rPr>
      </w:pPr>
      <w:r w:rsidRPr="00AD4F09">
        <w:rPr>
          <w:i/>
        </w:rPr>
        <w:t>Work submitted by a student as makeup work for an excused absence is not considered late work and is exempted from the late work policy</w:t>
      </w:r>
      <w:r w:rsidR="00AD4F09">
        <w:rPr>
          <w:i/>
        </w:rPr>
        <w:t xml:space="preserve"> (</w:t>
      </w:r>
      <w:hyperlink r:id="rId8" w:history="1">
        <w:r w:rsidR="00FB385D" w:rsidRPr="00AD4F09">
          <w:rPr>
            <w:rStyle w:val="Hyperlink"/>
            <w:i/>
          </w:rPr>
          <w:t>Student Rule 7</w:t>
        </w:r>
      </w:hyperlink>
      <w:r w:rsidR="00AD4F09" w:rsidRPr="00AD4F09">
        <w:rPr>
          <w:rStyle w:val="Hyperlink"/>
          <w:i/>
          <w:color w:val="auto"/>
          <w:u w:val="none"/>
        </w:rPr>
        <w:t>)</w:t>
      </w:r>
      <w:r w:rsidR="00FB385D" w:rsidRPr="00AD4F09">
        <w:rPr>
          <w:i/>
        </w:rPr>
        <w:t>.</w:t>
      </w:r>
    </w:p>
    <w:p w14:paraId="3B08B56D" w14:textId="77777777" w:rsidR="00805DE2" w:rsidRDefault="00805DE2" w:rsidP="00805DE2"/>
    <w:p w14:paraId="5824E4D2" w14:textId="0970B137" w:rsidR="00805DE2" w:rsidRDefault="00805DE2" w:rsidP="00B23E26">
      <w:pPr>
        <w:pStyle w:val="Heading3"/>
      </w:pPr>
      <w:r>
        <w:t>Course Schedule</w:t>
      </w:r>
    </w:p>
    <w:p w14:paraId="52071637" w14:textId="77777777" w:rsidR="00887A8E" w:rsidRDefault="00887A8E" w:rsidP="00887A8E"/>
    <w:p w14:paraId="1FC60E32" w14:textId="6A690A11" w:rsidR="00887A8E" w:rsidRPr="00887A8E" w:rsidRDefault="00887A8E" w:rsidP="00887A8E">
      <w:r>
        <w:t xml:space="preserve">Course schedule, subject to change. See additional optional topics at the bottom. </w:t>
      </w:r>
    </w:p>
    <w:p w14:paraId="1A6B3E68" w14:textId="77777777" w:rsidR="00805DE2" w:rsidRDefault="00805DE2" w:rsidP="00B23E26">
      <w:pPr>
        <w:keepNext/>
      </w:pPr>
    </w:p>
    <w:tbl>
      <w:tblPr>
        <w:tblStyle w:val="TableGrid"/>
        <w:tblW w:w="0" w:type="auto"/>
        <w:tblLook w:val="04A0" w:firstRow="1" w:lastRow="0" w:firstColumn="1" w:lastColumn="0" w:noHBand="0" w:noVBand="1"/>
      </w:tblPr>
      <w:tblGrid>
        <w:gridCol w:w="3116"/>
        <w:gridCol w:w="3117"/>
        <w:gridCol w:w="3117"/>
      </w:tblGrid>
      <w:tr w:rsidR="00CD06B6" w14:paraId="6FF8A0FA" w14:textId="77777777" w:rsidTr="00CD06B6">
        <w:tc>
          <w:tcPr>
            <w:tcW w:w="3116" w:type="dxa"/>
          </w:tcPr>
          <w:p w14:paraId="5C67691C" w14:textId="7127AC1D" w:rsidR="00CD06B6" w:rsidRPr="00CD06B6" w:rsidRDefault="00CD06B6" w:rsidP="00805DE2">
            <w:pPr>
              <w:rPr>
                <w:b/>
                <w:i/>
              </w:rPr>
            </w:pPr>
            <w:r>
              <w:rPr>
                <w:b/>
                <w:i/>
              </w:rPr>
              <w:t>Week</w:t>
            </w:r>
          </w:p>
        </w:tc>
        <w:tc>
          <w:tcPr>
            <w:tcW w:w="3117" w:type="dxa"/>
          </w:tcPr>
          <w:p w14:paraId="06382FD1" w14:textId="59D09F56" w:rsidR="00CD06B6" w:rsidRPr="00CD06B6" w:rsidRDefault="00CD06B6" w:rsidP="00805DE2">
            <w:pPr>
              <w:rPr>
                <w:b/>
                <w:i/>
              </w:rPr>
            </w:pPr>
            <w:r>
              <w:rPr>
                <w:b/>
                <w:i/>
              </w:rPr>
              <w:t>Topic</w:t>
            </w:r>
          </w:p>
        </w:tc>
        <w:tc>
          <w:tcPr>
            <w:tcW w:w="3117" w:type="dxa"/>
          </w:tcPr>
          <w:p w14:paraId="348F13D5" w14:textId="4E99D00A" w:rsidR="00CD06B6" w:rsidRPr="00CD06B6" w:rsidRDefault="00CD06B6" w:rsidP="00805DE2">
            <w:pPr>
              <w:rPr>
                <w:b/>
                <w:i/>
              </w:rPr>
            </w:pPr>
            <w:r>
              <w:rPr>
                <w:b/>
                <w:i/>
              </w:rPr>
              <w:t>Assignment</w:t>
            </w:r>
          </w:p>
        </w:tc>
      </w:tr>
      <w:tr w:rsidR="00CD06B6" w14:paraId="18653F12" w14:textId="77777777" w:rsidTr="00CD06B6">
        <w:tc>
          <w:tcPr>
            <w:tcW w:w="3116" w:type="dxa"/>
          </w:tcPr>
          <w:p w14:paraId="3044856A" w14:textId="02AB54D3" w:rsidR="00CD06B6" w:rsidRDefault="00CD06B6" w:rsidP="00805DE2">
            <w:pPr>
              <w:rPr>
                <w:i/>
              </w:rPr>
            </w:pPr>
            <w:r>
              <w:rPr>
                <w:i/>
              </w:rPr>
              <w:t>1</w:t>
            </w:r>
          </w:p>
        </w:tc>
        <w:tc>
          <w:tcPr>
            <w:tcW w:w="3117" w:type="dxa"/>
          </w:tcPr>
          <w:p w14:paraId="4FBF113E" w14:textId="0C156B6C" w:rsidR="00CD06B6" w:rsidRDefault="007240EC" w:rsidP="00805DE2">
            <w:pPr>
              <w:rPr>
                <w:i/>
              </w:rPr>
            </w:pPr>
            <w:r>
              <w:t>Probability basics (</w:t>
            </w:r>
            <w:r w:rsidR="004E41DC">
              <w:t xml:space="preserve">hashing, </w:t>
            </w:r>
            <w:r>
              <w:t>birthday paradox, coupon-collector, balls-in-bins, power-of-two choices)</w:t>
            </w:r>
          </w:p>
        </w:tc>
        <w:tc>
          <w:tcPr>
            <w:tcW w:w="3117" w:type="dxa"/>
          </w:tcPr>
          <w:p w14:paraId="70055A47" w14:textId="55E27144" w:rsidR="00CD06B6" w:rsidRDefault="007240EC" w:rsidP="00805DE2">
            <w:pPr>
              <w:rPr>
                <w:i/>
              </w:rPr>
            </w:pPr>
            <w:r>
              <w:rPr>
                <w:i/>
              </w:rPr>
              <w:t>Scribe notes</w:t>
            </w:r>
          </w:p>
        </w:tc>
      </w:tr>
      <w:tr w:rsidR="00CD06B6" w14:paraId="0F13FE2D" w14:textId="77777777" w:rsidTr="00CD06B6">
        <w:tc>
          <w:tcPr>
            <w:tcW w:w="3116" w:type="dxa"/>
          </w:tcPr>
          <w:p w14:paraId="7F3150F4" w14:textId="0D52BC7E" w:rsidR="00CD06B6" w:rsidRDefault="00CD06B6" w:rsidP="00805DE2">
            <w:pPr>
              <w:rPr>
                <w:i/>
              </w:rPr>
            </w:pPr>
            <w:r>
              <w:rPr>
                <w:i/>
              </w:rPr>
              <w:t>2</w:t>
            </w:r>
          </w:p>
        </w:tc>
        <w:tc>
          <w:tcPr>
            <w:tcW w:w="3117" w:type="dxa"/>
          </w:tcPr>
          <w:p w14:paraId="21FBA26B" w14:textId="4B2FE0D4" w:rsidR="00CD06B6" w:rsidRDefault="007240EC" w:rsidP="00805DE2">
            <w:pPr>
              <w:rPr>
                <w:i/>
              </w:rPr>
            </w:pPr>
            <w:r>
              <w:t>Probability basi</w:t>
            </w:r>
            <w:r w:rsidR="00441C70">
              <w:t>c</w:t>
            </w:r>
            <w:r>
              <w:t>s continued, concentration inequalities (Markov, Chebyshev, Chernoff)</w:t>
            </w:r>
          </w:p>
        </w:tc>
        <w:tc>
          <w:tcPr>
            <w:tcW w:w="3117" w:type="dxa"/>
          </w:tcPr>
          <w:p w14:paraId="4D92AD6D" w14:textId="5538F29A" w:rsidR="00CD06B6" w:rsidRDefault="007240EC" w:rsidP="00805DE2">
            <w:pPr>
              <w:rPr>
                <w:i/>
              </w:rPr>
            </w:pPr>
            <w:r>
              <w:rPr>
                <w:i/>
              </w:rPr>
              <w:t>Scribe notes</w:t>
            </w:r>
          </w:p>
        </w:tc>
      </w:tr>
      <w:tr w:rsidR="00CD06B6" w14:paraId="390100A9" w14:textId="77777777" w:rsidTr="00CD06B6">
        <w:tc>
          <w:tcPr>
            <w:tcW w:w="3116" w:type="dxa"/>
          </w:tcPr>
          <w:p w14:paraId="0D0AB415" w14:textId="0B1D4307" w:rsidR="00CD06B6" w:rsidRDefault="00CD06B6" w:rsidP="00805DE2">
            <w:pPr>
              <w:rPr>
                <w:i/>
              </w:rPr>
            </w:pPr>
            <w:r>
              <w:rPr>
                <w:i/>
              </w:rPr>
              <w:t>3</w:t>
            </w:r>
          </w:p>
        </w:tc>
        <w:tc>
          <w:tcPr>
            <w:tcW w:w="3117" w:type="dxa"/>
          </w:tcPr>
          <w:p w14:paraId="6EAB31CA" w14:textId="60CFE2D5" w:rsidR="00CD06B6" w:rsidRDefault="007240EC" w:rsidP="00805DE2">
            <w:pPr>
              <w:rPr>
                <w:i/>
              </w:rPr>
            </w:pPr>
            <w:r>
              <w:t>Dimensionality reduction (Johnson-</w:t>
            </w:r>
            <w:proofErr w:type="spellStart"/>
            <w:r>
              <w:t>Lindenstrauss</w:t>
            </w:r>
            <w:proofErr w:type="spellEnd"/>
            <w:r>
              <w:t>)</w:t>
            </w:r>
          </w:p>
        </w:tc>
        <w:tc>
          <w:tcPr>
            <w:tcW w:w="3117" w:type="dxa"/>
          </w:tcPr>
          <w:p w14:paraId="38A1FA02" w14:textId="04BFE234" w:rsidR="00CD06B6" w:rsidRDefault="007240EC" w:rsidP="00805DE2">
            <w:pPr>
              <w:rPr>
                <w:i/>
              </w:rPr>
            </w:pPr>
            <w:r>
              <w:rPr>
                <w:i/>
              </w:rPr>
              <w:t>Scribe notes</w:t>
            </w:r>
          </w:p>
        </w:tc>
      </w:tr>
      <w:tr w:rsidR="00CD06B6" w14:paraId="4C9F4FCC" w14:textId="77777777" w:rsidTr="00CD06B6">
        <w:tc>
          <w:tcPr>
            <w:tcW w:w="3116" w:type="dxa"/>
          </w:tcPr>
          <w:p w14:paraId="76831661" w14:textId="3F054EBF" w:rsidR="00CD06B6" w:rsidRDefault="00CD06B6" w:rsidP="00805DE2">
            <w:pPr>
              <w:rPr>
                <w:i/>
              </w:rPr>
            </w:pPr>
            <w:r>
              <w:rPr>
                <w:i/>
              </w:rPr>
              <w:t>4</w:t>
            </w:r>
          </w:p>
        </w:tc>
        <w:tc>
          <w:tcPr>
            <w:tcW w:w="3117" w:type="dxa"/>
          </w:tcPr>
          <w:p w14:paraId="1DFE6FEA" w14:textId="1C943AC4" w:rsidR="00CD06B6" w:rsidRDefault="007240EC" w:rsidP="00805DE2">
            <w:pPr>
              <w:rPr>
                <w:i/>
              </w:rPr>
            </w:pPr>
            <w:r>
              <w:t>Streaming model (reservoir sampling, norm estimation, heavy-hitters, distinct elements)</w:t>
            </w:r>
          </w:p>
        </w:tc>
        <w:tc>
          <w:tcPr>
            <w:tcW w:w="3117" w:type="dxa"/>
          </w:tcPr>
          <w:p w14:paraId="45183468" w14:textId="3ABA140E" w:rsidR="00CD06B6" w:rsidRDefault="007240EC" w:rsidP="00805DE2">
            <w:pPr>
              <w:rPr>
                <w:i/>
              </w:rPr>
            </w:pPr>
            <w:r>
              <w:rPr>
                <w:i/>
              </w:rPr>
              <w:t>Scribe notes, MIDTERM UPDATES</w:t>
            </w:r>
          </w:p>
        </w:tc>
      </w:tr>
      <w:tr w:rsidR="00CD06B6" w14:paraId="2261A4B1" w14:textId="77777777" w:rsidTr="00CD06B6">
        <w:tc>
          <w:tcPr>
            <w:tcW w:w="3116" w:type="dxa"/>
          </w:tcPr>
          <w:p w14:paraId="16C53308" w14:textId="589E6C6E" w:rsidR="00CD06B6" w:rsidRDefault="00CD06B6" w:rsidP="00805DE2">
            <w:pPr>
              <w:rPr>
                <w:i/>
              </w:rPr>
            </w:pPr>
            <w:r>
              <w:rPr>
                <w:i/>
              </w:rPr>
              <w:t>5</w:t>
            </w:r>
          </w:p>
        </w:tc>
        <w:tc>
          <w:tcPr>
            <w:tcW w:w="3117" w:type="dxa"/>
          </w:tcPr>
          <w:p w14:paraId="26437F4B" w14:textId="1AD33CFB" w:rsidR="00CD06B6" w:rsidRDefault="002D19A6" w:rsidP="00805DE2">
            <w:pPr>
              <w:rPr>
                <w:i/>
              </w:rPr>
            </w:pPr>
            <w:r>
              <w:t>Differential privacy</w:t>
            </w:r>
          </w:p>
        </w:tc>
        <w:tc>
          <w:tcPr>
            <w:tcW w:w="3117" w:type="dxa"/>
          </w:tcPr>
          <w:p w14:paraId="06771B5E" w14:textId="7EF6DD7D" w:rsidR="00CD06B6" w:rsidRDefault="007240EC" w:rsidP="00805DE2">
            <w:pPr>
              <w:rPr>
                <w:i/>
              </w:rPr>
            </w:pPr>
            <w:r>
              <w:rPr>
                <w:i/>
              </w:rPr>
              <w:t>Scribe notes</w:t>
            </w:r>
          </w:p>
        </w:tc>
      </w:tr>
      <w:tr w:rsidR="00CD06B6" w14:paraId="0591BBBC" w14:textId="77777777" w:rsidTr="00CD06B6">
        <w:tc>
          <w:tcPr>
            <w:tcW w:w="3116" w:type="dxa"/>
          </w:tcPr>
          <w:p w14:paraId="16F7CEFA" w14:textId="0227C36A" w:rsidR="00CD06B6" w:rsidRDefault="00CD06B6" w:rsidP="00805DE2">
            <w:pPr>
              <w:rPr>
                <w:i/>
              </w:rPr>
            </w:pPr>
            <w:r>
              <w:rPr>
                <w:i/>
              </w:rPr>
              <w:t>6</w:t>
            </w:r>
          </w:p>
        </w:tc>
        <w:tc>
          <w:tcPr>
            <w:tcW w:w="3117" w:type="dxa"/>
          </w:tcPr>
          <w:p w14:paraId="3BCC1AE5" w14:textId="5E8E2AC4" w:rsidR="00CD06B6" w:rsidRDefault="002D19A6" w:rsidP="00805DE2">
            <w:pPr>
              <w:rPr>
                <w:i/>
              </w:rPr>
            </w:pPr>
            <w:r>
              <w:t>Reading paper presentations</w:t>
            </w:r>
          </w:p>
        </w:tc>
        <w:tc>
          <w:tcPr>
            <w:tcW w:w="3117" w:type="dxa"/>
          </w:tcPr>
          <w:p w14:paraId="2030A75F" w14:textId="0C0B9564" w:rsidR="00CD06B6" w:rsidRDefault="002D19A6" w:rsidP="00805DE2">
            <w:pPr>
              <w:rPr>
                <w:i/>
              </w:rPr>
            </w:pPr>
            <w:r>
              <w:rPr>
                <w:i/>
              </w:rPr>
              <w:t>MIDTERM PRESENTATION</w:t>
            </w:r>
          </w:p>
        </w:tc>
      </w:tr>
      <w:tr w:rsidR="00CD06B6" w14:paraId="283F4680" w14:textId="77777777" w:rsidTr="00CD06B6">
        <w:tc>
          <w:tcPr>
            <w:tcW w:w="3116" w:type="dxa"/>
          </w:tcPr>
          <w:p w14:paraId="42DBD511" w14:textId="1D3B4B06" w:rsidR="00CD06B6" w:rsidRDefault="00CD06B6" w:rsidP="00805DE2">
            <w:pPr>
              <w:rPr>
                <w:i/>
              </w:rPr>
            </w:pPr>
            <w:r>
              <w:rPr>
                <w:i/>
              </w:rPr>
              <w:t>7</w:t>
            </w:r>
          </w:p>
        </w:tc>
        <w:tc>
          <w:tcPr>
            <w:tcW w:w="3117" w:type="dxa"/>
          </w:tcPr>
          <w:p w14:paraId="0689C8BE" w14:textId="2F0B4621" w:rsidR="00CD06B6" w:rsidRDefault="002D19A6" w:rsidP="00805DE2">
            <w:pPr>
              <w:rPr>
                <w:i/>
              </w:rPr>
            </w:pPr>
            <w:r>
              <w:t>Clustering in the streaming model, coresets</w:t>
            </w:r>
          </w:p>
        </w:tc>
        <w:tc>
          <w:tcPr>
            <w:tcW w:w="3117" w:type="dxa"/>
          </w:tcPr>
          <w:p w14:paraId="6EE6D326" w14:textId="336EE5C9" w:rsidR="00CD06B6" w:rsidRDefault="002D19A6" w:rsidP="00805DE2">
            <w:pPr>
              <w:rPr>
                <w:i/>
              </w:rPr>
            </w:pPr>
            <w:r>
              <w:rPr>
                <w:i/>
              </w:rPr>
              <w:t>Scribe notes</w:t>
            </w:r>
          </w:p>
        </w:tc>
      </w:tr>
      <w:tr w:rsidR="00CD06B6" w14:paraId="127C718A" w14:textId="77777777" w:rsidTr="00CD06B6">
        <w:tc>
          <w:tcPr>
            <w:tcW w:w="3116" w:type="dxa"/>
          </w:tcPr>
          <w:p w14:paraId="55EFE3FA" w14:textId="3FFB56DE" w:rsidR="00CD06B6" w:rsidRDefault="00CD06B6" w:rsidP="00805DE2">
            <w:pPr>
              <w:rPr>
                <w:i/>
              </w:rPr>
            </w:pPr>
            <w:r>
              <w:rPr>
                <w:i/>
              </w:rPr>
              <w:t>8</w:t>
            </w:r>
          </w:p>
        </w:tc>
        <w:tc>
          <w:tcPr>
            <w:tcW w:w="3117" w:type="dxa"/>
          </w:tcPr>
          <w:p w14:paraId="6F09D153" w14:textId="6F57463C" w:rsidR="00CD06B6" w:rsidRDefault="002D19A6" w:rsidP="00805DE2">
            <w:pPr>
              <w:rPr>
                <w:i/>
              </w:rPr>
            </w:pPr>
            <w:r>
              <w:t>Sliding window model, adversarial robustness</w:t>
            </w:r>
          </w:p>
        </w:tc>
        <w:tc>
          <w:tcPr>
            <w:tcW w:w="3117" w:type="dxa"/>
          </w:tcPr>
          <w:p w14:paraId="66B03F62" w14:textId="13C306DC" w:rsidR="00CD06B6" w:rsidRDefault="007240EC" w:rsidP="00805DE2">
            <w:pPr>
              <w:rPr>
                <w:i/>
              </w:rPr>
            </w:pPr>
            <w:r>
              <w:rPr>
                <w:i/>
              </w:rPr>
              <w:t>Scribe notes</w:t>
            </w:r>
          </w:p>
        </w:tc>
      </w:tr>
      <w:tr w:rsidR="00CD06B6" w14:paraId="143B9C2F" w14:textId="77777777" w:rsidTr="00CD06B6">
        <w:tc>
          <w:tcPr>
            <w:tcW w:w="3116" w:type="dxa"/>
          </w:tcPr>
          <w:p w14:paraId="70B3D0B4" w14:textId="51945518" w:rsidR="00CD06B6" w:rsidRDefault="00CD06B6" w:rsidP="00805DE2">
            <w:pPr>
              <w:rPr>
                <w:i/>
              </w:rPr>
            </w:pPr>
            <w:r>
              <w:rPr>
                <w:i/>
              </w:rPr>
              <w:t>9</w:t>
            </w:r>
          </w:p>
        </w:tc>
        <w:tc>
          <w:tcPr>
            <w:tcW w:w="3117" w:type="dxa"/>
          </w:tcPr>
          <w:p w14:paraId="3D5A6D58" w14:textId="7DAC8340" w:rsidR="00CD06B6" w:rsidRDefault="0079574F" w:rsidP="00805DE2">
            <w:pPr>
              <w:rPr>
                <w:i/>
              </w:rPr>
            </w:pPr>
            <w:r>
              <w:t>Numerical linear algebra in the streaming model (</w:t>
            </w:r>
            <w:r w:rsidR="007240EC">
              <w:t>Linear regression, subspace embeddings, low-rank approximation</w:t>
            </w:r>
            <w:r>
              <w:t>)</w:t>
            </w:r>
          </w:p>
        </w:tc>
        <w:tc>
          <w:tcPr>
            <w:tcW w:w="3117" w:type="dxa"/>
          </w:tcPr>
          <w:p w14:paraId="5121AECC" w14:textId="57449732" w:rsidR="00CD06B6" w:rsidRDefault="007240EC" w:rsidP="00805DE2">
            <w:pPr>
              <w:rPr>
                <w:i/>
              </w:rPr>
            </w:pPr>
            <w:r>
              <w:rPr>
                <w:i/>
              </w:rPr>
              <w:t>Scribe notes, PROJECT PROPOSAL</w:t>
            </w:r>
          </w:p>
        </w:tc>
      </w:tr>
      <w:tr w:rsidR="00CD06B6" w14:paraId="4AE70F22" w14:textId="77777777" w:rsidTr="00CD06B6">
        <w:tc>
          <w:tcPr>
            <w:tcW w:w="3116" w:type="dxa"/>
          </w:tcPr>
          <w:p w14:paraId="72B46455" w14:textId="561A12BE" w:rsidR="00CD06B6" w:rsidRDefault="00CD06B6" w:rsidP="00805DE2">
            <w:pPr>
              <w:rPr>
                <w:i/>
              </w:rPr>
            </w:pPr>
            <w:r>
              <w:rPr>
                <w:i/>
              </w:rPr>
              <w:t>10</w:t>
            </w:r>
          </w:p>
        </w:tc>
        <w:tc>
          <w:tcPr>
            <w:tcW w:w="3117" w:type="dxa"/>
          </w:tcPr>
          <w:p w14:paraId="0D7A0373" w14:textId="4BEDBE31" w:rsidR="00CD06B6" w:rsidRDefault="007240EC" w:rsidP="00805DE2">
            <w:pPr>
              <w:rPr>
                <w:i/>
              </w:rPr>
            </w:pPr>
            <w:r>
              <w:t>Online learning, linear programming, semi-definite programming</w:t>
            </w:r>
          </w:p>
        </w:tc>
        <w:tc>
          <w:tcPr>
            <w:tcW w:w="3117" w:type="dxa"/>
          </w:tcPr>
          <w:p w14:paraId="1CE2FBEA" w14:textId="0BDA2A63" w:rsidR="00CD06B6" w:rsidRDefault="007240EC" w:rsidP="00805DE2">
            <w:pPr>
              <w:rPr>
                <w:i/>
              </w:rPr>
            </w:pPr>
            <w:r>
              <w:rPr>
                <w:i/>
              </w:rPr>
              <w:t>Scribe notes</w:t>
            </w:r>
          </w:p>
        </w:tc>
      </w:tr>
      <w:tr w:rsidR="00CD06B6" w14:paraId="0E2E6A18" w14:textId="77777777" w:rsidTr="00CD06B6">
        <w:tc>
          <w:tcPr>
            <w:tcW w:w="3116" w:type="dxa"/>
          </w:tcPr>
          <w:p w14:paraId="1D3C5E00" w14:textId="608E0EB4" w:rsidR="00CD06B6" w:rsidRDefault="00CD06B6" w:rsidP="00805DE2">
            <w:pPr>
              <w:rPr>
                <w:i/>
              </w:rPr>
            </w:pPr>
            <w:r>
              <w:rPr>
                <w:i/>
              </w:rPr>
              <w:lastRenderedPageBreak/>
              <w:t>11</w:t>
            </w:r>
          </w:p>
        </w:tc>
        <w:tc>
          <w:tcPr>
            <w:tcW w:w="3117" w:type="dxa"/>
          </w:tcPr>
          <w:p w14:paraId="2FEEE6E4" w14:textId="483B462A" w:rsidR="00CD06B6" w:rsidRDefault="0079574F" w:rsidP="00805DE2">
            <w:pPr>
              <w:rPr>
                <w:i/>
              </w:rPr>
            </w:pPr>
            <w:r>
              <w:t>Learning-augmented algorithms</w:t>
            </w:r>
          </w:p>
        </w:tc>
        <w:tc>
          <w:tcPr>
            <w:tcW w:w="3117" w:type="dxa"/>
          </w:tcPr>
          <w:p w14:paraId="7B1C77D7" w14:textId="4B98DC26" w:rsidR="00CD06B6" w:rsidRDefault="007240EC" w:rsidP="00805DE2">
            <w:pPr>
              <w:rPr>
                <w:i/>
              </w:rPr>
            </w:pPr>
            <w:r>
              <w:rPr>
                <w:i/>
              </w:rPr>
              <w:t>Scribe notes</w:t>
            </w:r>
          </w:p>
        </w:tc>
      </w:tr>
      <w:tr w:rsidR="00CD06B6" w14:paraId="106E9D76" w14:textId="77777777" w:rsidTr="00CD06B6">
        <w:tc>
          <w:tcPr>
            <w:tcW w:w="3116" w:type="dxa"/>
          </w:tcPr>
          <w:p w14:paraId="3F41BF05" w14:textId="474BECA7" w:rsidR="00CD06B6" w:rsidRDefault="00CD06B6" w:rsidP="00805DE2">
            <w:pPr>
              <w:rPr>
                <w:i/>
              </w:rPr>
            </w:pPr>
            <w:r>
              <w:rPr>
                <w:i/>
              </w:rPr>
              <w:t>12</w:t>
            </w:r>
          </w:p>
        </w:tc>
        <w:tc>
          <w:tcPr>
            <w:tcW w:w="3117" w:type="dxa"/>
          </w:tcPr>
          <w:p w14:paraId="584A0B44" w14:textId="0E2370FF" w:rsidR="00CD06B6" w:rsidRDefault="009B7FE5" w:rsidP="00805DE2">
            <w:pPr>
              <w:rPr>
                <w:i/>
              </w:rPr>
            </w:pPr>
            <w:r>
              <w:t>Optional topics</w:t>
            </w:r>
          </w:p>
        </w:tc>
        <w:tc>
          <w:tcPr>
            <w:tcW w:w="3117" w:type="dxa"/>
          </w:tcPr>
          <w:p w14:paraId="2B9F117C" w14:textId="2A63C36E" w:rsidR="00CD06B6" w:rsidRDefault="007240EC" w:rsidP="00805DE2">
            <w:pPr>
              <w:rPr>
                <w:i/>
              </w:rPr>
            </w:pPr>
            <w:r>
              <w:rPr>
                <w:i/>
              </w:rPr>
              <w:t>Scribe notes, PROJECT UPDATES</w:t>
            </w:r>
          </w:p>
        </w:tc>
      </w:tr>
      <w:tr w:rsidR="00CD06B6" w14:paraId="6A8F9028" w14:textId="77777777" w:rsidTr="00CD06B6">
        <w:tc>
          <w:tcPr>
            <w:tcW w:w="3116" w:type="dxa"/>
          </w:tcPr>
          <w:p w14:paraId="15186F4D" w14:textId="45FE775B" w:rsidR="00CD06B6" w:rsidRDefault="00CD06B6" w:rsidP="00805DE2">
            <w:pPr>
              <w:rPr>
                <w:i/>
              </w:rPr>
            </w:pPr>
            <w:r>
              <w:rPr>
                <w:i/>
              </w:rPr>
              <w:t>13</w:t>
            </w:r>
          </w:p>
        </w:tc>
        <w:tc>
          <w:tcPr>
            <w:tcW w:w="3117" w:type="dxa"/>
          </w:tcPr>
          <w:p w14:paraId="65729E29" w14:textId="54EA81E3" w:rsidR="00CD06B6" w:rsidRDefault="009B7FE5" w:rsidP="00805DE2">
            <w:pPr>
              <w:rPr>
                <w:i/>
              </w:rPr>
            </w:pPr>
            <w:r>
              <w:t>Optional topics</w:t>
            </w:r>
          </w:p>
        </w:tc>
        <w:tc>
          <w:tcPr>
            <w:tcW w:w="3117" w:type="dxa"/>
          </w:tcPr>
          <w:p w14:paraId="792A65C8" w14:textId="0CA3F338" w:rsidR="00CD06B6" w:rsidRDefault="007240EC" w:rsidP="00805DE2">
            <w:pPr>
              <w:rPr>
                <w:i/>
              </w:rPr>
            </w:pPr>
            <w:r>
              <w:rPr>
                <w:i/>
              </w:rPr>
              <w:t>Scribe notes</w:t>
            </w:r>
          </w:p>
        </w:tc>
      </w:tr>
      <w:tr w:rsidR="00CD06B6" w14:paraId="54F4EFBE" w14:textId="77777777" w:rsidTr="00CD06B6">
        <w:tc>
          <w:tcPr>
            <w:tcW w:w="3116" w:type="dxa"/>
          </w:tcPr>
          <w:p w14:paraId="209A3AF4" w14:textId="3C70EF95" w:rsidR="00CD06B6" w:rsidRDefault="00CD06B6" w:rsidP="00805DE2">
            <w:pPr>
              <w:rPr>
                <w:i/>
              </w:rPr>
            </w:pPr>
            <w:r>
              <w:rPr>
                <w:i/>
              </w:rPr>
              <w:t>14</w:t>
            </w:r>
          </w:p>
        </w:tc>
        <w:tc>
          <w:tcPr>
            <w:tcW w:w="3117" w:type="dxa"/>
          </w:tcPr>
          <w:p w14:paraId="57D4761C" w14:textId="7FBF6ADA" w:rsidR="00CD06B6" w:rsidRDefault="009B7FE5" w:rsidP="00805DE2">
            <w:pPr>
              <w:rPr>
                <w:i/>
              </w:rPr>
            </w:pPr>
            <w:r>
              <w:t>Optional topics</w:t>
            </w:r>
          </w:p>
        </w:tc>
        <w:tc>
          <w:tcPr>
            <w:tcW w:w="3117" w:type="dxa"/>
          </w:tcPr>
          <w:p w14:paraId="0CC3F75A" w14:textId="08B65A07" w:rsidR="00CD06B6" w:rsidRDefault="007240EC" w:rsidP="00805DE2">
            <w:pPr>
              <w:rPr>
                <w:i/>
              </w:rPr>
            </w:pPr>
            <w:r>
              <w:rPr>
                <w:i/>
              </w:rPr>
              <w:t>Scribe notes</w:t>
            </w:r>
          </w:p>
        </w:tc>
      </w:tr>
      <w:tr w:rsidR="00CD06B6" w14:paraId="36BA5334" w14:textId="77777777" w:rsidTr="00CD06B6">
        <w:tc>
          <w:tcPr>
            <w:tcW w:w="3116" w:type="dxa"/>
          </w:tcPr>
          <w:p w14:paraId="539E20C4" w14:textId="11E406D4" w:rsidR="00CD06B6" w:rsidRDefault="00CD06B6" w:rsidP="00805DE2">
            <w:pPr>
              <w:rPr>
                <w:i/>
              </w:rPr>
            </w:pPr>
            <w:r>
              <w:rPr>
                <w:i/>
              </w:rPr>
              <w:t>15</w:t>
            </w:r>
          </w:p>
        </w:tc>
        <w:tc>
          <w:tcPr>
            <w:tcW w:w="3117" w:type="dxa"/>
          </w:tcPr>
          <w:p w14:paraId="745BE9C0" w14:textId="2948C28C" w:rsidR="00CD06B6" w:rsidRDefault="007240EC" w:rsidP="00805DE2">
            <w:pPr>
              <w:rPr>
                <w:i/>
              </w:rPr>
            </w:pPr>
            <w:r>
              <w:t>Project presentations</w:t>
            </w:r>
          </w:p>
        </w:tc>
        <w:tc>
          <w:tcPr>
            <w:tcW w:w="3117" w:type="dxa"/>
          </w:tcPr>
          <w:p w14:paraId="05234FD5" w14:textId="16CE6694" w:rsidR="00CD06B6" w:rsidRDefault="007240EC" w:rsidP="00805DE2">
            <w:pPr>
              <w:rPr>
                <w:i/>
              </w:rPr>
            </w:pPr>
            <w:r>
              <w:rPr>
                <w:i/>
              </w:rPr>
              <w:t>FINAL PROJECT</w:t>
            </w:r>
          </w:p>
        </w:tc>
      </w:tr>
    </w:tbl>
    <w:p w14:paraId="5BF14984" w14:textId="77777777" w:rsidR="00FB385D" w:rsidRPr="00C37313" w:rsidRDefault="00FB385D" w:rsidP="00805DE2">
      <w:pPr>
        <w:rPr>
          <w:i/>
        </w:rPr>
      </w:pPr>
    </w:p>
    <w:p w14:paraId="30ACC383" w14:textId="77777777" w:rsidR="00805DE2" w:rsidRPr="00805DE2" w:rsidRDefault="00805DE2" w:rsidP="00805DE2"/>
    <w:p w14:paraId="79A6926E" w14:textId="650A5393" w:rsidR="00B11A32" w:rsidRDefault="009B7FE5" w:rsidP="00B11A32">
      <w:r>
        <w:t xml:space="preserve">List of optional topics include: </w:t>
      </w:r>
      <w:r w:rsidR="0079574F">
        <w:t xml:space="preserve">lower bounds (information theory, communication complexity) for the streaming model, </w:t>
      </w:r>
      <w:r>
        <w:t xml:space="preserve">distributed model, </w:t>
      </w:r>
      <w:proofErr w:type="spellStart"/>
      <w:r>
        <w:t>L_p</w:t>
      </w:r>
      <w:proofErr w:type="spellEnd"/>
      <w:r>
        <w:t xml:space="preserve"> norm estimation, </w:t>
      </w:r>
      <w:proofErr w:type="spellStart"/>
      <w:r>
        <w:t>L_p</w:t>
      </w:r>
      <w:proofErr w:type="spellEnd"/>
      <w:r>
        <w:t xml:space="preserve"> regression</w:t>
      </w:r>
      <w:r w:rsidR="0079574F">
        <w:t xml:space="preserve">, </w:t>
      </w:r>
      <w:r w:rsidR="003048A8">
        <w:t xml:space="preserve">local and shuffle models for differential privacy, </w:t>
      </w:r>
      <w:r w:rsidR="003E4143">
        <w:t>sparse vector technique for differential privacy, adaptive data analysis and differential privacy</w:t>
      </w:r>
    </w:p>
    <w:p w14:paraId="0B02301A" w14:textId="77777777" w:rsidR="0079574F" w:rsidRDefault="0079574F" w:rsidP="00B11A32"/>
    <w:p w14:paraId="064C6FD7" w14:textId="3559645E" w:rsidR="00B11A32" w:rsidRDefault="00B11A32" w:rsidP="00B11A32">
      <w:pPr>
        <w:rPr>
          <w:i/>
        </w:rPr>
      </w:pPr>
      <w:r w:rsidRPr="00B11A32">
        <w:rPr>
          <w:rStyle w:val="Heading4Char"/>
        </w:rPr>
        <w:t>Learning Resources</w:t>
      </w:r>
      <w:r w:rsidR="003035FE">
        <w:t xml:space="preserve"> </w:t>
      </w:r>
    </w:p>
    <w:p w14:paraId="3F1C0FB2" w14:textId="3292ECD7" w:rsidR="00FB385D" w:rsidRDefault="00FB385D" w:rsidP="00B11A32">
      <w:pPr>
        <w:rPr>
          <w:i/>
        </w:rPr>
      </w:pPr>
    </w:p>
    <w:p w14:paraId="4994D164" w14:textId="6449C551" w:rsidR="00FB385D" w:rsidRPr="00334E93" w:rsidRDefault="00FB385D" w:rsidP="00B11A32">
      <w:pPr>
        <w:rPr>
          <w:b/>
          <w:iCs/>
        </w:rPr>
      </w:pPr>
      <w:r w:rsidRPr="00334E93">
        <w:rPr>
          <w:b/>
          <w:iCs/>
        </w:rPr>
        <w:t xml:space="preserve">Texas A&amp;M at Galveston </w:t>
      </w:r>
    </w:p>
    <w:p w14:paraId="7672CD5D" w14:textId="2773D9D3" w:rsidR="00FB385D" w:rsidRPr="00334E93" w:rsidRDefault="00CC53B3" w:rsidP="00B11A32">
      <w:pPr>
        <w:rPr>
          <w:i/>
          <w:iCs/>
        </w:rPr>
      </w:pPr>
      <w:r>
        <w:rPr>
          <w:i/>
          <w:iCs/>
        </w:rPr>
        <w:t>On-campus learning resources to support students in achieving excellence are available through The Commons (</w:t>
      </w:r>
      <w:hyperlink r:id="rId9" w:history="1">
        <w:r w:rsidRPr="00CC53B3">
          <w:rPr>
            <w:rStyle w:val="Hyperlink"/>
            <w:i/>
            <w:iCs/>
          </w:rPr>
          <w:t>tamug.edu/commons</w:t>
        </w:r>
      </w:hyperlink>
      <w:r>
        <w:rPr>
          <w:i/>
          <w:iCs/>
        </w:rPr>
        <w:t>).</w:t>
      </w:r>
    </w:p>
    <w:p w14:paraId="495AE309" w14:textId="3C0960C9" w:rsidR="00FB385D" w:rsidRDefault="00FB385D" w:rsidP="00B11A32"/>
    <w:p w14:paraId="3D6B318B" w14:textId="77777777" w:rsidR="00B11A32" w:rsidRDefault="00B11A32" w:rsidP="00B11A32"/>
    <w:p w14:paraId="5458824D" w14:textId="77777777" w:rsidR="00B11A32" w:rsidRDefault="00B11A32" w:rsidP="00B23E26">
      <w:pPr>
        <w:pStyle w:val="Heading2"/>
      </w:pPr>
      <w:r>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10"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1"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12"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3"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lastRenderedPageBreak/>
        <w:t xml:space="preserve">Students who request an excused absence are expected to uphold the Aggie Honor Code and Student Conduct Code. (See </w:t>
      </w:r>
      <w:hyperlink r:id="rId14"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 xml:space="preserve">“Texas A&amp;M University students are responsible for authenticating all work submitted to an instructor. If asked, students must be able to produce proof that the item submitted is indeed the work of that student. Students must </w:t>
      </w:r>
      <w:proofErr w:type="gramStart"/>
      <w:r w:rsidRPr="000A6FE9">
        <w:t>keep appropriate records at all times</w:t>
      </w:r>
      <w:proofErr w:type="gramEnd"/>
      <w:r w:rsidRPr="000A6FE9">
        <w:t>. The inability to authenticate one’s work, should the instructor request it, may be sufficient grounds to initiate an academic misconduct case” (</w:t>
      </w:r>
      <w:hyperlink r:id="rId15" w:history="1">
        <w:r w:rsidRPr="000A6FE9">
          <w:rPr>
            <w:rStyle w:val="Hyperlink"/>
          </w:rPr>
          <w:t>Section 20.1.2.3, Student Rule 20</w:t>
        </w:r>
      </w:hyperlink>
      <w:r w:rsidRPr="000A6FE9">
        <w:t>).</w:t>
      </w:r>
    </w:p>
    <w:p w14:paraId="152D1EC7" w14:textId="0C4EB751" w:rsidR="000A6FE9" w:rsidRDefault="000A6FE9" w:rsidP="000A6FE9"/>
    <w:p w14:paraId="42DB5739" w14:textId="7949B8F6" w:rsidR="00812308" w:rsidRPr="00334E93" w:rsidRDefault="00812308" w:rsidP="000A6FE9">
      <w:pPr>
        <w:rPr>
          <w:b/>
        </w:rPr>
      </w:pPr>
      <w:r w:rsidRPr="00334E93">
        <w:rPr>
          <w:b/>
        </w:rPr>
        <w:t>Texas A&amp;M at College Station</w:t>
      </w:r>
    </w:p>
    <w:p w14:paraId="7F026DDD" w14:textId="4F8C4F88" w:rsidR="000A6FE9" w:rsidRPr="00334E93" w:rsidRDefault="000A6FE9" w:rsidP="000A6FE9">
      <w:pPr>
        <w:rPr>
          <w:i/>
        </w:rPr>
      </w:pPr>
      <w:r w:rsidRPr="00334E93">
        <w:rPr>
          <w:i/>
        </w:rPr>
        <w:t xml:space="preserve">You can learn more about the Aggie Honor System Office Rules and Procedures, academic integrity, and your rights and responsibilities at </w:t>
      </w:r>
      <w:hyperlink r:id="rId16" w:history="1">
        <w:r w:rsidR="009F2157" w:rsidRPr="00334E93">
          <w:rPr>
            <w:rStyle w:val="Hyperlink"/>
            <w:i/>
          </w:rPr>
          <w:t>aggiehonor.tamu.edu</w:t>
        </w:r>
      </w:hyperlink>
      <w:r w:rsidRPr="00334E93">
        <w:rPr>
          <w:i/>
        </w:rPr>
        <w:t>.</w:t>
      </w:r>
    </w:p>
    <w:p w14:paraId="54D4071F" w14:textId="65220D9F" w:rsidR="00812308" w:rsidRDefault="00812308" w:rsidP="000A6FE9"/>
    <w:p w14:paraId="66717309" w14:textId="6DC41495" w:rsidR="00812308" w:rsidRPr="00334E93" w:rsidRDefault="00812308" w:rsidP="000A6FE9">
      <w:pPr>
        <w:rPr>
          <w:b/>
        </w:rPr>
      </w:pPr>
      <w:r w:rsidRPr="00334E93">
        <w:rPr>
          <w:b/>
        </w:rPr>
        <w:t>Texas A&amp;M at Galveston</w:t>
      </w:r>
    </w:p>
    <w:p w14:paraId="16568274" w14:textId="48141E3B" w:rsidR="00812308" w:rsidRPr="00334E93" w:rsidRDefault="00812308" w:rsidP="000A6FE9">
      <w:pPr>
        <w:rPr>
          <w:rFonts w:cstheme="minorHAnsi"/>
          <w:i/>
        </w:rPr>
      </w:pPr>
      <w:r w:rsidRPr="00334E93">
        <w:rPr>
          <w:rFonts w:eastAsia="Trebuchet MS" w:cstheme="minorHAnsi"/>
          <w:i/>
        </w:rPr>
        <w:t xml:space="preserve">You can learn more about the Honor Council Rules and Procedures as well as your rights and responsibilities at </w:t>
      </w:r>
      <w:hyperlink r:id="rId17" w:history="1">
        <w:hyperlink r:id="rId18" w:history="1">
          <w:r w:rsidRPr="00334E93">
            <w:rPr>
              <w:rFonts w:eastAsia="Trebuchet MS" w:cstheme="minorHAnsi"/>
              <w:i/>
              <w:color w:val="0563C1"/>
              <w:u w:val="single"/>
            </w:rPr>
            <w:t>tamug.edu/HonorSystem</w:t>
          </w:r>
        </w:hyperlink>
        <w:r w:rsidRPr="00334E93">
          <w:rPr>
            <w:rFonts w:eastAsia="Trebuchet MS" w:cstheme="minorHAnsi"/>
            <w:i/>
            <w:color w:val="0563C1"/>
          </w:rPr>
          <w:t>.</w:t>
        </w:r>
      </w:hyperlink>
    </w:p>
    <w:p w14:paraId="60FB9E27" w14:textId="2FEF2D96" w:rsidR="00812308" w:rsidRDefault="00812308" w:rsidP="000A6FE9"/>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77777777" w:rsidR="000A6FE9" w:rsidRDefault="000A6FE9" w:rsidP="00B23E26">
      <w:pPr>
        <w:keepNext/>
      </w:pPr>
    </w:p>
    <w:p w14:paraId="077F518D" w14:textId="6CA24559"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w:t>
      </w:r>
      <w:r w:rsidR="00812308">
        <w:t xml:space="preserve">the </w:t>
      </w:r>
      <w:r w:rsidRPr="000A6FE9">
        <w:t xml:space="preserve">Disability Resources </w:t>
      </w:r>
      <w:r w:rsidR="00812308">
        <w:t>office on your campus (resources listed below)</w:t>
      </w:r>
      <w:r w:rsidRPr="000A6FE9">
        <w:t xml:space="preserve">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7E5857C4" w14:textId="1E2C093E" w:rsidR="00812308" w:rsidRDefault="00812308" w:rsidP="000A6FE9">
      <w:pPr>
        <w:rPr>
          <w:b/>
          <w:i/>
        </w:rPr>
      </w:pPr>
    </w:p>
    <w:p w14:paraId="1A6B5FED" w14:textId="2C3DD67B" w:rsidR="00812308" w:rsidRPr="00334E93" w:rsidRDefault="00812308" w:rsidP="000A6FE9">
      <w:pPr>
        <w:rPr>
          <w:b/>
        </w:rPr>
      </w:pPr>
      <w:r w:rsidRPr="00334E93">
        <w:rPr>
          <w:b/>
        </w:rPr>
        <w:t>Texas A&amp;M at College Station</w:t>
      </w:r>
    </w:p>
    <w:p w14:paraId="5B59F570" w14:textId="7B686481" w:rsidR="00812308" w:rsidRPr="00334E93" w:rsidRDefault="00812308" w:rsidP="000A6FE9">
      <w:pPr>
        <w:rPr>
          <w:i/>
        </w:rPr>
      </w:pPr>
      <w:r w:rsidRPr="00334E93">
        <w:rPr>
          <w:i/>
        </w:rPr>
        <w:t xml:space="preserve">Disability Resources </w:t>
      </w:r>
      <w:proofErr w:type="gramStart"/>
      <w:r w:rsidRPr="00334E93">
        <w:rPr>
          <w:i/>
        </w:rPr>
        <w:t>is located in</w:t>
      </w:r>
      <w:proofErr w:type="gramEnd"/>
      <w:r w:rsidRPr="00334E93">
        <w:rPr>
          <w:i/>
        </w:rPr>
        <w:t xml:space="preserve"> the Student Services Building or at (979) 845-1637 or visit </w:t>
      </w:r>
      <w:hyperlink r:id="rId19" w:history="1">
        <w:r w:rsidRPr="00334E93">
          <w:rPr>
            <w:rStyle w:val="Hyperlink"/>
            <w:i/>
          </w:rPr>
          <w:t>disability.tamu.edu</w:t>
        </w:r>
      </w:hyperlink>
      <w:r w:rsidRPr="00334E93">
        <w:rPr>
          <w:i/>
        </w:rPr>
        <w:t>.</w:t>
      </w:r>
    </w:p>
    <w:p w14:paraId="6EE4944F" w14:textId="521A86D2" w:rsidR="00812308" w:rsidRDefault="00812308" w:rsidP="000A6FE9"/>
    <w:p w14:paraId="5EB30453" w14:textId="291569EA" w:rsidR="00812308" w:rsidRPr="00334E93" w:rsidRDefault="00812308" w:rsidP="000A6FE9">
      <w:pPr>
        <w:rPr>
          <w:b/>
        </w:rPr>
      </w:pPr>
      <w:r w:rsidRPr="00334E93">
        <w:rPr>
          <w:b/>
        </w:rPr>
        <w:t>Texas A&amp;M at Galveston</w:t>
      </w:r>
    </w:p>
    <w:p w14:paraId="358CFB18" w14:textId="30FA5681" w:rsidR="00812308" w:rsidRPr="00334E93" w:rsidRDefault="00812308" w:rsidP="000A6FE9">
      <w:pPr>
        <w:rPr>
          <w:rFonts w:cstheme="minorHAnsi"/>
          <w:i/>
        </w:rPr>
      </w:pPr>
      <w:r w:rsidRPr="00334E93">
        <w:rPr>
          <w:rFonts w:eastAsia="Trebuchet MS" w:cstheme="minorHAnsi"/>
          <w:i/>
        </w:rPr>
        <w:t xml:space="preserve">Disability Resources </w:t>
      </w:r>
      <w:proofErr w:type="gramStart"/>
      <w:r w:rsidRPr="00334E93">
        <w:rPr>
          <w:rFonts w:eastAsia="Trebuchet MS" w:cstheme="minorHAnsi"/>
          <w:i/>
        </w:rPr>
        <w:t>is located in</w:t>
      </w:r>
      <w:proofErr w:type="gramEnd"/>
      <w:r w:rsidRPr="00334E93">
        <w:rPr>
          <w:rFonts w:eastAsia="Trebuchet MS" w:cstheme="minorHAnsi"/>
          <w:i/>
        </w:rPr>
        <w:t xml:space="preserve"> the Student Services Building or at (409) 740-4587 or visit </w:t>
      </w:r>
      <w:hyperlink r:id="rId20" w:history="1">
        <w:r w:rsidRPr="00334E93">
          <w:rPr>
            <w:rFonts w:eastAsia="Trebuchet MS" w:cstheme="minorHAnsi"/>
            <w:i/>
            <w:color w:val="0563C1"/>
            <w:u w:val="single"/>
          </w:rPr>
          <w:t>tamug.edu/counsel/Disabilities</w:t>
        </w:r>
      </w:hyperlink>
      <w:r w:rsidR="00CC53B3" w:rsidRPr="00334E93">
        <w:rPr>
          <w:rFonts w:eastAsia="Trebuchet MS" w:cstheme="minorHAnsi"/>
          <w:i/>
        </w:rPr>
        <w:t>.</w:t>
      </w:r>
    </w:p>
    <w:p w14:paraId="618C8186" w14:textId="77777777" w:rsidR="00812308" w:rsidRDefault="00812308" w:rsidP="000A6FE9"/>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21"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20CF927F"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 xml:space="preserve">Although Mandatory Reporters must file a report, in most instances, </w:t>
      </w:r>
      <w:r w:rsidR="008414C1" w:rsidRPr="008414C1">
        <w:t>a person who is subjected to the alleged conduct</w:t>
      </w:r>
      <w:r w:rsidR="008414C1">
        <w:t xml:space="preserve"> </w:t>
      </w:r>
      <w:r w:rsidRPr="000420DD">
        <w:t xml:space="preserve">will be able to control how the report is handled, including </w:t>
      </w:r>
      <w:proofErr w:type="gramStart"/>
      <w:r w:rsidRPr="000420DD">
        <w:t>whether or not</w:t>
      </w:r>
      <w:proofErr w:type="gramEnd"/>
      <w:r w:rsidRPr="000420DD">
        <w:t xml:space="preserve">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09205EC1" w14:textId="169A43CE" w:rsidR="00362AB9" w:rsidRDefault="00362AB9" w:rsidP="000420DD">
      <w:pPr>
        <w:rPr>
          <w:b/>
          <w:i/>
        </w:rPr>
      </w:pPr>
    </w:p>
    <w:p w14:paraId="3727F680" w14:textId="4D204749" w:rsidR="00362AB9" w:rsidRPr="00334E93" w:rsidRDefault="00362AB9" w:rsidP="000420DD">
      <w:pPr>
        <w:rPr>
          <w:b/>
        </w:rPr>
      </w:pPr>
      <w:r w:rsidRPr="00334E93">
        <w:rPr>
          <w:b/>
        </w:rPr>
        <w:t>Texas A&amp;M at College Station</w:t>
      </w:r>
    </w:p>
    <w:p w14:paraId="16C77CE5" w14:textId="77777777" w:rsidR="00362AB9" w:rsidRPr="00334E93" w:rsidRDefault="00362AB9" w:rsidP="00362AB9">
      <w:pPr>
        <w:rPr>
          <w:i/>
        </w:rPr>
      </w:pPr>
      <w:r w:rsidRPr="00334E93">
        <w:rPr>
          <w:i/>
        </w:rPr>
        <w:t xml:space="preserve">Students wishing to discuss concerns in a confidential setting are encouraged to make an appointment with </w:t>
      </w:r>
      <w:hyperlink r:id="rId22" w:history="1">
        <w:r w:rsidRPr="00334E93">
          <w:rPr>
            <w:rStyle w:val="Hyperlink"/>
            <w:i/>
          </w:rPr>
          <w:t>Counseling and Psychological Services</w:t>
        </w:r>
      </w:hyperlink>
      <w:r w:rsidRPr="00334E93">
        <w:rPr>
          <w:i/>
        </w:rPr>
        <w:t xml:space="preserve"> (CAPS). </w:t>
      </w:r>
    </w:p>
    <w:p w14:paraId="7E0F1F5A" w14:textId="77777777" w:rsidR="00362AB9" w:rsidRPr="00334E93" w:rsidRDefault="00362AB9" w:rsidP="00362AB9">
      <w:pPr>
        <w:rPr>
          <w:i/>
        </w:rPr>
      </w:pPr>
    </w:p>
    <w:p w14:paraId="2532A872" w14:textId="77777777" w:rsidR="00362AB9" w:rsidRPr="00334E93" w:rsidRDefault="00362AB9" w:rsidP="00362AB9">
      <w:pPr>
        <w:rPr>
          <w:i/>
        </w:rPr>
      </w:pPr>
      <w:r w:rsidRPr="00334E93">
        <w:rPr>
          <w:i/>
        </w:rPr>
        <w:t xml:space="preserve">Students can learn more about filing a report, accessing supportive resources, and navigating the Title IX investigation and resolution process on the University’s </w:t>
      </w:r>
      <w:hyperlink r:id="rId23" w:history="1">
        <w:r w:rsidRPr="00334E93">
          <w:rPr>
            <w:rStyle w:val="Hyperlink"/>
            <w:i/>
          </w:rPr>
          <w:t>Title IX webpage</w:t>
        </w:r>
      </w:hyperlink>
      <w:r w:rsidRPr="00334E93">
        <w:rPr>
          <w:i/>
        </w:rPr>
        <w:t>.</w:t>
      </w:r>
    </w:p>
    <w:p w14:paraId="6A5BA491" w14:textId="77777777" w:rsidR="00362AB9" w:rsidRDefault="00362AB9" w:rsidP="000420DD">
      <w:pPr>
        <w:rPr>
          <w:b/>
          <w:i/>
        </w:rPr>
      </w:pPr>
    </w:p>
    <w:p w14:paraId="4089525F" w14:textId="599CEE0A" w:rsidR="00362AB9" w:rsidRPr="00334E93" w:rsidRDefault="00362AB9" w:rsidP="000420DD">
      <w:pPr>
        <w:rPr>
          <w:b/>
        </w:rPr>
      </w:pPr>
      <w:r w:rsidRPr="00334E93">
        <w:rPr>
          <w:b/>
        </w:rPr>
        <w:t>Texas A&amp;M at Galveston</w:t>
      </w:r>
    </w:p>
    <w:p w14:paraId="504D46F8" w14:textId="00E22F09" w:rsidR="00362AB9" w:rsidRDefault="00362AB9" w:rsidP="00EC270D">
      <w:pPr>
        <w:rPr>
          <w:rFonts w:ascii="Calibri" w:eastAsia="Trebuchet MS" w:hAnsi="Calibri" w:cs="Times New Roman"/>
          <w:i/>
          <w:lang w:eastAsia="ja-JP"/>
        </w:rPr>
      </w:pPr>
      <w:r w:rsidRPr="00334E93">
        <w:rPr>
          <w:rFonts w:ascii="Calibri" w:eastAsia="Trebuchet MS" w:hAnsi="Calibri" w:cs="Times New Roman"/>
          <w:i/>
          <w:lang w:eastAsia="ja-JP"/>
        </w:rPr>
        <w:t xml:space="preserve">Students wishing to discuss concerns in a confidential setting are encouraged to make an appointment with the Counseling Office in the Seibel Student Center, or call (409)740-4587. For additional information, visit </w:t>
      </w:r>
      <w:hyperlink r:id="rId24" w:history="1">
        <w:r w:rsidRPr="00334E93">
          <w:rPr>
            <w:rFonts w:ascii="Calibri" w:eastAsia="Trebuchet MS" w:hAnsi="Calibri" w:cs="Times New Roman"/>
            <w:i/>
            <w:color w:val="0563C1"/>
            <w:u w:val="single"/>
            <w:lang w:eastAsia="ja-JP"/>
          </w:rPr>
          <w:t>tamug.edu/counsel</w:t>
        </w:r>
      </w:hyperlink>
      <w:r w:rsidR="00BF4E51">
        <w:rPr>
          <w:rFonts w:ascii="Calibri" w:eastAsia="Trebuchet MS" w:hAnsi="Calibri" w:cs="Times New Roman"/>
          <w:i/>
          <w:lang w:eastAsia="ja-JP"/>
        </w:rPr>
        <w:t>.</w:t>
      </w:r>
    </w:p>
    <w:p w14:paraId="00331BC7" w14:textId="77777777" w:rsidR="00EC270D" w:rsidRPr="00334E93" w:rsidRDefault="00EC270D" w:rsidP="00EC270D">
      <w:pPr>
        <w:rPr>
          <w:rFonts w:ascii="Calibri" w:eastAsia="Trebuchet MS" w:hAnsi="Calibri" w:cs="Times New Roman"/>
          <w:i/>
          <w:lang w:eastAsia="ja-JP"/>
        </w:rPr>
      </w:pPr>
    </w:p>
    <w:p w14:paraId="7464DF34" w14:textId="63297B97" w:rsidR="00362AB9" w:rsidRPr="00334E93" w:rsidRDefault="00362AB9" w:rsidP="00362AB9">
      <w:pPr>
        <w:rPr>
          <w:rFonts w:ascii="Calibri" w:eastAsia="Trebuchet MS" w:hAnsi="Calibri" w:cs="Times New Roman"/>
          <w:i/>
          <w:lang w:eastAsia="ja-JP"/>
        </w:rPr>
      </w:pPr>
      <w:r w:rsidRPr="00334E93">
        <w:rPr>
          <w:rFonts w:ascii="Calibri" w:eastAsia="Trebuchet MS" w:hAnsi="Calibri" w:cs="Times New Roman"/>
          <w:i/>
          <w:lang w:eastAsia="ja-JP"/>
        </w:rPr>
        <w:t xml:space="preserve">Students can learn more about filing a report, accessing supportive resources, and navigating the Title IX investigation and resolution process on the Galveston Campus’ </w:t>
      </w:r>
      <w:hyperlink r:id="rId25" w:history="1">
        <w:r w:rsidRPr="00334E93">
          <w:rPr>
            <w:rFonts w:ascii="Calibri" w:eastAsia="Trebuchet MS" w:hAnsi="Calibri" w:cs="Times New Roman"/>
            <w:i/>
            <w:color w:val="0563C1"/>
            <w:u w:val="single"/>
            <w:lang w:eastAsia="ja-JP"/>
          </w:rPr>
          <w:t>Title IX webpage</w:t>
        </w:r>
      </w:hyperlink>
      <w:r w:rsidR="00BF4E51">
        <w:rPr>
          <w:rFonts w:ascii="Calibri" w:eastAsia="Trebuchet MS" w:hAnsi="Calibri" w:cs="Times New Roman"/>
          <w:i/>
          <w:lang w:eastAsia="ja-JP"/>
        </w:rPr>
        <w:t>.</w:t>
      </w:r>
    </w:p>
    <w:p w14:paraId="09FE0BA7" w14:textId="77777777" w:rsidR="00362AB9" w:rsidRDefault="00362AB9" w:rsidP="000420DD">
      <w:pPr>
        <w:rPr>
          <w:b/>
          <w:i/>
        </w:rPr>
      </w:pPr>
    </w:p>
    <w:p w14:paraId="5BB7007B" w14:textId="77777777" w:rsidR="00362AB9" w:rsidRDefault="00362AB9" w:rsidP="000420DD">
      <w:pPr>
        <w:rPr>
          <w:b/>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58E24E6C" w14:textId="54FB0C46" w:rsidR="00362AB9" w:rsidRDefault="00A60155" w:rsidP="00A60155">
      <w:r w:rsidRPr="00A60155">
        <w:t xml:space="preserve">Texas A&amp;M University recognizes that mental health and wellness are critical factors that influence a student’s academic success and overall wellbeing. </w:t>
      </w:r>
      <w:r w:rsidR="00362AB9" w:rsidRPr="00362AB9">
        <w:t xml:space="preserve">Students are encouraged to engage in healthy self-care by utilizing </w:t>
      </w:r>
      <w:r w:rsidR="00362AB9">
        <w:t>available</w:t>
      </w:r>
      <w:r w:rsidR="00362AB9" w:rsidRPr="00362AB9">
        <w:t xml:space="preserve"> resources and services </w:t>
      </w:r>
      <w:r w:rsidR="00362AB9">
        <w:t>on your campus</w:t>
      </w:r>
    </w:p>
    <w:p w14:paraId="55A9D161" w14:textId="77777777" w:rsidR="00362AB9" w:rsidRDefault="00362AB9" w:rsidP="00A60155"/>
    <w:p w14:paraId="0265A6F2" w14:textId="123262C6" w:rsidR="00362AB9" w:rsidRPr="00334E93" w:rsidRDefault="00362AB9" w:rsidP="00A60155">
      <w:pPr>
        <w:rPr>
          <w:b/>
        </w:rPr>
      </w:pPr>
      <w:r w:rsidRPr="00334E93">
        <w:rPr>
          <w:b/>
        </w:rPr>
        <w:t>Texas A&amp;M College Station</w:t>
      </w:r>
    </w:p>
    <w:p w14:paraId="46BA4E65" w14:textId="09C13A11" w:rsidR="00A60155" w:rsidRPr="00334E93" w:rsidRDefault="00A60155" w:rsidP="00A60155">
      <w:pPr>
        <w:rPr>
          <w:i/>
        </w:rPr>
      </w:pPr>
      <w:r w:rsidRPr="00334E93">
        <w:rPr>
          <w:i/>
        </w:rPr>
        <w:t xml:space="preserve">Students who need someone to talk to can </w:t>
      </w:r>
      <w:r w:rsidR="00362AB9" w:rsidRPr="00334E93">
        <w:rPr>
          <w:i/>
        </w:rPr>
        <w:t xml:space="preserve">contact Counseling &amp; Psychological Services (CAPS) or </w:t>
      </w:r>
      <w:r w:rsidRPr="00334E93">
        <w:rPr>
          <w:i/>
        </w:rPr>
        <w:t xml:space="preserve">call the TAMU Helpline (979-845-2700) from 4:00 p.m. to 8:00 a.m. weekdays and 24 hours on weekends. 24-hour emergency help is also available through the National Suicide Prevention Hotline (800-273-8255) or at </w:t>
      </w:r>
      <w:hyperlink r:id="rId26" w:history="1">
        <w:r w:rsidRPr="00334E93">
          <w:rPr>
            <w:rStyle w:val="Hyperlink"/>
            <w:i/>
          </w:rPr>
          <w:t>suicidepreventionlifeline.org</w:t>
        </w:r>
      </w:hyperlink>
      <w:r w:rsidRPr="00334E93">
        <w:rPr>
          <w:i/>
        </w:rPr>
        <w:t xml:space="preserve">. </w:t>
      </w:r>
    </w:p>
    <w:p w14:paraId="745E664F" w14:textId="3203EE9E" w:rsidR="00A60155" w:rsidRDefault="00A60155" w:rsidP="00A60155"/>
    <w:p w14:paraId="5BE5EF13" w14:textId="7C10F680" w:rsidR="00362AB9" w:rsidRPr="00334E93" w:rsidRDefault="00362AB9" w:rsidP="00A60155">
      <w:pPr>
        <w:rPr>
          <w:b/>
        </w:rPr>
      </w:pPr>
      <w:r w:rsidRPr="00334E93">
        <w:rPr>
          <w:b/>
        </w:rPr>
        <w:lastRenderedPageBreak/>
        <w:t>Texas A&amp;M at Galveston</w:t>
      </w:r>
    </w:p>
    <w:p w14:paraId="31CD891B" w14:textId="08AB78CF" w:rsidR="00362AB9" w:rsidRPr="00334E93" w:rsidRDefault="00362AB9" w:rsidP="00A60155">
      <w:pPr>
        <w:rPr>
          <w:i/>
        </w:rPr>
      </w:pPr>
      <w:r w:rsidRPr="00334E93">
        <w:rPr>
          <w:i/>
        </w:rPr>
        <w:t xml:space="preserve">Students who need someone to talk to can call (409) 740-4736 from 8:00 a.m. to 5:00 p.m. weekdays or visit </w:t>
      </w:r>
      <w:hyperlink r:id="rId27" w:history="1">
        <w:r w:rsidRPr="00334E93">
          <w:rPr>
            <w:rStyle w:val="Hyperlink"/>
            <w:i/>
            <w:color w:val="0070C0"/>
          </w:rPr>
          <w:t>tamug.edu/counsel</w:t>
        </w:r>
      </w:hyperlink>
      <w:r w:rsidRPr="00334E93">
        <w:rPr>
          <w:i/>
        </w:rPr>
        <w:t xml:space="preserve"> for more information. For 24-hour emergency assistance during nights and weekends, contact the TAMUG Police Dept at (409) 740-4545. 24-hour emergency help is also available through the National Suicide Prevention Hotline (800-273-8255) or at </w:t>
      </w:r>
      <w:hyperlink r:id="rId28" w:history="1">
        <w:r w:rsidRPr="00334E93">
          <w:rPr>
            <w:rStyle w:val="Hyperlink"/>
            <w:i/>
            <w:color w:val="0070C0"/>
          </w:rPr>
          <w:t>suicidepreventionlifeline.org</w:t>
        </w:r>
      </w:hyperlink>
      <w:r w:rsidRPr="00334E93">
        <w:rPr>
          <w:i/>
        </w:rPr>
        <w:t>.</w:t>
      </w:r>
    </w:p>
    <w:p w14:paraId="353E7BDC" w14:textId="5941A352" w:rsidR="00362AB9" w:rsidRDefault="00362AB9" w:rsidP="00B23E26">
      <w:pPr>
        <w:pStyle w:val="Heading2"/>
      </w:pPr>
    </w:p>
    <w:p w14:paraId="593B376A" w14:textId="54DD5552" w:rsidR="0047448B" w:rsidRDefault="0047448B" w:rsidP="0047448B">
      <w:pPr>
        <w:pStyle w:val="Heading2"/>
      </w:pPr>
      <w:r>
        <w:t>Campus</w:t>
      </w:r>
      <w:r w:rsidR="00906AAC">
        <w:t>-</w:t>
      </w:r>
      <w:r>
        <w:t>Specific Policies</w:t>
      </w:r>
    </w:p>
    <w:p w14:paraId="7E5B4B64" w14:textId="77777777" w:rsidR="0047448B" w:rsidRPr="0047448B" w:rsidRDefault="0047448B" w:rsidP="00334E93"/>
    <w:p w14:paraId="6C2CE80F" w14:textId="5F748052" w:rsidR="0047448B" w:rsidRPr="00334E93" w:rsidRDefault="0047448B" w:rsidP="00334E93">
      <w:pPr>
        <w:pStyle w:val="Heading4"/>
        <w:rPr>
          <w:rFonts w:eastAsia="Times New Roman"/>
          <w:b/>
          <w:lang w:eastAsia="ja-JP"/>
        </w:rPr>
      </w:pPr>
      <w:r w:rsidRPr="00334E93">
        <w:rPr>
          <w:rFonts w:eastAsia="Times New Roman"/>
          <w:b/>
          <w:i w:val="0"/>
          <w:lang w:eastAsia="ja-JP"/>
        </w:rPr>
        <w:t>Texas A&amp;M at Galveston</w:t>
      </w:r>
    </w:p>
    <w:p w14:paraId="11CF82EF" w14:textId="77777777" w:rsidR="0047448B" w:rsidRPr="00334E93" w:rsidRDefault="00000000" w:rsidP="0047448B">
      <w:pPr>
        <w:keepNext/>
        <w:keepLines/>
        <w:spacing w:before="40"/>
        <w:outlineLvl w:val="2"/>
        <w:rPr>
          <w:rFonts w:ascii="Calibri" w:eastAsia="Times New Roman" w:hAnsi="Calibri" w:cs="Times New Roman"/>
          <w:b/>
          <w:color w:val="003C71"/>
          <w:sz w:val="26"/>
          <w:szCs w:val="24"/>
          <w:lang w:eastAsia="ja-JP"/>
        </w:rPr>
      </w:pPr>
      <w:sdt>
        <w:sdtPr>
          <w:rPr>
            <w:rFonts w:ascii="Calibri" w:eastAsia="Times New Roman" w:hAnsi="Calibri" w:cs="Times New Roman"/>
            <w:b/>
            <w:color w:val="003C71"/>
            <w:sz w:val="26"/>
            <w:szCs w:val="24"/>
            <w:lang w:eastAsia="ja-JP"/>
          </w:rPr>
          <w:alias w:val="Inclusion Statement:"/>
          <w:tag w:val="Inclusion Statement:"/>
          <w:id w:val="337501903"/>
          <w:placeholder>
            <w:docPart w:val="A42AFA4757F541088F0878B1C5C64CCB"/>
          </w:placeholder>
          <w:temporary/>
          <w:showingPlcHdr/>
        </w:sdtPr>
        <w:sdtContent>
          <w:r w:rsidR="0047448B" w:rsidRPr="00334E93">
            <w:rPr>
              <w:rStyle w:val="Heading5Char"/>
            </w:rPr>
            <w:t>Classroom Access and Inclusion Statement</w:t>
          </w:r>
        </w:sdtContent>
      </w:sdt>
    </w:p>
    <w:p w14:paraId="60DECB7C" w14:textId="77777777" w:rsidR="0047448B" w:rsidRPr="00334E93" w:rsidRDefault="0047448B" w:rsidP="0047448B">
      <w:pPr>
        <w:spacing w:before="120" w:after="120"/>
        <w:rPr>
          <w:rFonts w:ascii="Calibri" w:eastAsia="Times New Roman" w:hAnsi="Calibri" w:cs="Times New Roman"/>
          <w:lang w:eastAsia="ja-JP"/>
        </w:rPr>
      </w:pPr>
      <w:r w:rsidRPr="00334E93">
        <w:rPr>
          <w:rFonts w:ascii="Calibri" w:eastAsia="Times New Roman" w:hAnsi="Calibri" w:cs="Times New Roman"/>
          <w:lang w:eastAsia="ja-JP"/>
        </w:rPr>
        <w:t xml:space="preserve">Texas A&amp;M University is committed to engaged student participation in </w:t>
      </w:r>
      <w:proofErr w:type="gramStart"/>
      <w:r w:rsidRPr="00334E93">
        <w:rPr>
          <w:rFonts w:ascii="Calibri" w:eastAsia="Times New Roman" w:hAnsi="Calibri" w:cs="Times New Roman"/>
          <w:lang w:eastAsia="ja-JP"/>
        </w:rPr>
        <w:t>all of</w:t>
      </w:r>
      <w:proofErr w:type="gramEnd"/>
      <w:r w:rsidRPr="00334E93">
        <w:rPr>
          <w:rFonts w:ascii="Calibri" w:eastAsia="Times New Roman" w:hAnsi="Calibri" w:cs="Times New Roman"/>
          <w:lang w:eastAsia="ja-JP"/>
        </w:rPr>
        <w:t xml:space="preserve"> its programs and courses and provides an accessible academic environment for all students. This means that our classrooms, our virtual spaces, our </w:t>
      </w:r>
      <w:proofErr w:type="gramStart"/>
      <w:r w:rsidRPr="00334E93">
        <w:rPr>
          <w:rFonts w:ascii="Calibri" w:eastAsia="Times New Roman" w:hAnsi="Calibri" w:cs="Times New Roman"/>
          <w:lang w:eastAsia="ja-JP"/>
        </w:rPr>
        <w:t>practices</w:t>
      </w:r>
      <w:proofErr w:type="gramEnd"/>
      <w:r w:rsidRPr="00334E93">
        <w:rPr>
          <w:rFonts w:ascii="Calibri" w:eastAsia="Times New Roman" w:hAnsi="Calibri" w:cs="Times New Roman"/>
          <w:lang w:eastAsia="ja-JP"/>
        </w:rPr>
        <w:t xml:space="preserve"> and our interactions are as inclusive as possible and we work to provide a welcoming instructional climate and equal learning opportunities for everyone. If you have an instructional need, please notify me as soon as possible.</w:t>
      </w:r>
    </w:p>
    <w:p w14:paraId="5E314AE2" w14:textId="77777777" w:rsidR="0047448B" w:rsidRPr="00334E93" w:rsidRDefault="0047448B" w:rsidP="0047448B">
      <w:pPr>
        <w:spacing w:after="120"/>
        <w:rPr>
          <w:rFonts w:ascii="Calibri" w:eastAsia="Times New Roman" w:hAnsi="Calibri" w:cs="Times New Roman"/>
          <w:lang w:eastAsia="ja-JP"/>
        </w:rPr>
      </w:pPr>
      <w:r w:rsidRPr="00334E93">
        <w:rPr>
          <w:rFonts w:ascii="Calibri" w:eastAsia="Times New Roman" w:hAnsi="Calibri" w:cs="Times New Roman"/>
          <w:lang w:eastAsia="ja-JP"/>
        </w:rPr>
        <w:t xml:space="preserve">The Aggie Core values of respect, excellence, leadership, loyalty, </w:t>
      </w:r>
      <w:proofErr w:type="gramStart"/>
      <w:r w:rsidRPr="00334E93">
        <w:rPr>
          <w:rFonts w:ascii="Calibri" w:eastAsia="Times New Roman" w:hAnsi="Calibri" w:cs="Times New Roman"/>
          <w:lang w:eastAsia="ja-JP"/>
        </w:rPr>
        <w:t>integrity</w:t>
      </w:r>
      <w:proofErr w:type="gramEnd"/>
      <w:r w:rsidRPr="00334E93">
        <w:rPr>
          <w:rFonts w:ascii="Calibri" w:eastAsia="Times New Roman" w:hAnsi="Calibri" w:cs="Times New Roman"/>
          <w:lang w:eastAsia="ja-JP"/>
        </w:rPr>
        <w:t xml:space="preserve"> and selfless service in addition to civility, and the ability to listen and to observe others are the foundation of a welcoming instructional climate. Active, thoughtful and respectful participation in all aspects of the course supports a more inclusive classroom environment as well as </w:t>
      </w:r>
      <w:hyperlink r:id="rId29" w:history="1">
        <w:r w:rsidRPr="00334E93">
          <w:rPr>
            <w:rFonts w:ascii="Calibri" w:eastAsia="Trebuchet MS" w:hAnsi="Calibri" w:cs="Times New Roman"/>
            <w:color w:val="0070C0"/>
            <w:u w:val="single"/>
            <w:lang w:eastAsia="ja-JP"/>
          </w:rPr>
          <w:t>our</w:t>
        </w:r>
      </w:hyperlink>
      <w:r w:rsidRPr="00334E93">
        <w:rPr>
          <w:rFonts w:ascii="Calibri" w:eastAsia="Times New Roman" w:hAnsi="Calibri" w:cs="Times New Roman"/>
          <w:color w:val="0070C0"/>
          <w:lang w:eastAsia="ja-JP"/>
        </w:rPr>
        <w:t xml:space="preserve"> </w:t>
      </w:r>
      <w:hyperlink r:id="rId30" w:history="1">
        <w:r w:rsidRPr="00334E93">
          <w:rPr>
            <w:rFonts w:ascii="Calibri" w:eastAsia="Trebuchet MS" w:hAnsi="Calibri" w:cs="Times New Roman"/>
            <w:color w:val="0070C0"/>
            <w:u w:val="single"/>
            <w:lang w:eastAsia="ja-JP"/>
          </w:rPr>
          <w:t>mutual</w:t>
        </w:r>
      </w:hyperlink>
      <w:r w:rsidRPr="00334E93">
        <w:rPr>
          <w:rFonts w:ascii="Calibri" w:eastAsia="Times New Roman" w:hAnsi="Calibri" w:cs="Times New Roman"/>
          <w:lang w:eastAsia="ja-JP"/>
        </w:rPr>
        <w:t xml:space="preserve"> responsibilities to the campus community</w:t>
      </w:r>
      <w:r w:rsidRPr="00334E93">
        <w:rPr>
          <w:rFonts w:ascii="Arial" w:eastAsia="Times New Roman" w:hAnsi="Arial" w:cs="Arial"/>
          <w:i/>
          <w:iCs/>
          <w:color w:val="333399"/>
          <w:sz w:val="20"/>
          <w:szCs w:val="20"/>
          <w:lang w:eastAsia="ja-JP"/>
        </w:rPr>
        <w:t>.</w:t>
      </w:r>
    </w:p>
    <w:p w14:paraId="79B2AC3F" w14:textId="44A247C4" w:rsidR="00DB05DE" w:rsidRPr="00F63C1E" w:rsidRDefault="00DB05DE" w:rsidP="000A6FE9"/>
    <w:sectPr w:rsidR="00DB05DE" w:rsidRPr="00F63C1E" w:rsidSect="00CF27A4">
      <w:headerReference w:type="default" r:id="rId31"/>
      <w:footerReference w:type="default" r:id="rId3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E44C" w14:textId="77777777" w:rsidR="00BB388F" w:rsidRDefault="00BB388F" w:rsidP="008927F1">
      <w:r>
        <w:separator/>
      </w:r>
    </w:p>
  </w:endnote>
  <w:endnote w:type="continuationSeparator" w:id="0">
    <w:p w14:paraId="6F9F9CCA" w14:textId="77777777" w:rsidR="00BB388F" w:rsidRDefault="00BB388F"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2"/>
        <w:szCs w:val="12"/>
      </w:rPr>
      <w:id w:val="-568502469"/>
      <w:docPartObj>
        <w:docPartGallery w:val="Page Numbers (Bottom of Page)"/>
        <w:docPartUnique/>
      </w:docPartObj>
    </w:sdtPr>
    <w:sdtEndPr>
      <w:rPr>
        <w:color w:val="500000"/>
        <w:sz w:val="16"/>
        <w:szCs w:val="16"/>
      </w:rPr>
    </w:sdtEndPr>
    <w:sdtContent>
      <w:sdt>
        <w:sdtPr>
          <w:rPr>
            <w:sz w:val="12"/>
            <w:szCs w:val="12"/>
          </w:rPr>
          <w:id w:val="-1705238520"/>
          <w:docPartObj>
            <w:docPartGallery w:val="Page Numbers (Top of Page)"/>
            <w:docPartUnique/>
          </w:docPartObj>
        </w:sdtPr>
        <w:sdtEndPr>
          <w:rPr>
            <w:color w:val="500000"/>
            <w:sz w:val="16"/>
            <w:szCs w:val="16"/>
          </w:rPr>
        </w:sdtEndPr>
        <w:sdtContent>
          <w:p w14:paraId="73DF5862" w14:textId="765B4F3C" w:rsidR="00CF27A4" w:rsidRPr="00CF27A4" w:rsidRDefault="00CF27A4" w:rsidP="008927F1">
            <w:pPr>
              <w:pStyle w:val="Footer"/>
              <w:jc w:val="center"/>
              <w:rPr>
                <w:sz w:val="12"/>
                <w:szCs w:val="12"/>
              </w:rPr>
            </w:pPr>
            <w:r w:rsidRPr="00CF27A4">
              <w:rPr>
                <w:noProof/>
                <w:sz w:val="12"/>
                <w:szCs w:val="12"/>
              </w:rPr>
              <mc:AlternateContent>
                <mc:Choice Requires="wps">
                  <w:drawing>
                    <wp:inline distT="0" distB="0" distL="0" distR="0" wp14:anchorId="0C960732" wp14:editId="5AE23973">
                      <wp:extent cx="5943600" cy="0"/>
                      <wp:effectExtent l="0" t="0" r="19050" b="19050"/>
                      <wp:docPr id="3" name="Straight Connector 3"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xmlns:w16du="http://schemas.microsoft.com/office/word/2023/wordml/word16du">
                  <w:pict>
                    <v:line w14:anchorId="6D905A06" id="Straight Connector 3"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PfRtB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27FB9CEC" w14:textId="77777777" w:rsidR="00CF27A4" w:rsidRPr="00CF27A4" w:rsidRDefault="00CF27A4" w:rsidP="008927F1">
            <w:pPr>
              <w:pStyle w:val="Footer"/>
              <w:jc w:val="center"/>
              <w:rPr>
                <w:sz w:val="12"/>
                <w:szCs w:val="12"/>
              </w:rPr>
            </w:pPr>
          </w:p>
          <w:p w14:paraId="6FF78A02" w14:textId="5E2D448B" w:rsidR="008927F1" w:rsidRPr="00CF27A4" w:rsidRDefault="008927F1" w:rsidP="00CF27A4">
            <w:pPr>
              <w:pStyle w:val="Footer"/>
              <w:jc w:val="right"/>
              <w:rPr>
                <w:color w:val="500000"/>
                <w:sz w:val="16"/>
                <w:szCs w:val="16"/>
              </w:rPr>
            </w:pPr>
            <w:r w:rsidRPr="00CF27A4">
              <w:rPr>
                <w:color w:val="500000"/>
                <w:sz w:val="16"/>
                <w:szCs w:val="16"/>
              </w:rPr>
              <w:t xml:space="preserve">Page </w:t>
            </w:r>
            <w:r w:rsidRPr="00CF27A4">
              <w:rPr>
                <w:bCs/>
                <w:color w:val="500000"/>
                <w:sz w:val="16"/>
                <w:szCs w:val="16"/>
              </w:rPr>
              <w:fldChar w:fldCharType="begin"/>
            </w:r>
            <w:r w:rsidRPr="00CF27A4">
              <w:rPr>
                <w:bCs/>
                <w:color w:val="500000"/>
                <w:sz w:val="16"/>
                <w:szCs w:val="16"/>
              </w:rPr>
              <w:instrText xml:space="preserve"> PAGE </w:instrText>
            </w:r>
            <w:r w:rsidRPr="00CF27A4">
              <w:rPr>
                <w:bCs/>
                <w:color w:val="500000"/>
                <w:sz w:val="16"/>
                <w:szCs w:val="16"/>
              </w:rPr>
              <w:fldChar w:fldCharType="separate"/>
            </w:r>
            <w:r w:rsidR="000465B0">
              <w:rPr>
                <w:bCs/>
                <w:noProof/>
                <w:color w:val="500000"/>
                <w:sz w:val="16"/>
                <w:szCs w:val="16"/>
              </w:rPr>
              <w:t>2</w:t>
            </w:r>
            <w:r w:rsidRPr="00CF27A4">
              <w:rPr>
                <w:bCs/>
                <w:color w:val="500000"/>
                <w:sz w:val="16"/>
                <w:szCs w:val="16"/>
              </w:rPr>
              <w:fldChar w:fldCharType="end"/>
            </w:r>
            <w:r w:rsidRPr="00CF27A4">
              <w:rPr>
                <w:color w:val="500000"/>
                <w:sz w:val="16"/>
                <w:szCs w:val="16"/>
              </w:rPr>
              <w:t xml:space="preserve"> of </w:t>
            </w:r>
            <w:r w:rsidRPr="00CF27A4">
              <w:rPr>
                <w:bCs/>
                <w:color w:val="500000"/>
                <w:sz w:val="16"/>
                <w:szCs w:val="16"/>
              </w:rPr>
              <w:fldChar w:fldCharType="begin"/>
            </w:r>
            <w:r w:rsidRPr="00CF27A4">
              <w:rPr>
                <w:bCs/>
                <w:color w:val="500000"/>
                <w:sz w:val="16"/>
                <w:szCs w:val="16"/>
              </w:rPr>
              <w:instrText xml:space="preserve"> NUMPAGES  </w:instrText>
            </w:r>
            <w:r w:rsidRPr="00CF27A4">
              <w:rPr>
                <w:bCs/>
                <w:color w:val="500000"/>
                <w:sz w:val="16"/>
                <w:szCs w:val="16"/>
              </w:rPr>
              <w:fldChar w:fldCharType="separate"/>
            </w:r>
            <w:r w:rsidR="000465B0">
              <w:rPr>
                <w:bCs/>
                <w:noProof/>
                <w:color w:val="500000"/>
                <w:sz w:val="16"/>
                <w:szCs w:val="16"/>
              </w:rPr>
              <w:t>6</w:t>
            </w:r>
            <w:r w:rsidRPr="00CF27A4">
              <w:rPr>
                <w:bCs/>
                <w:color w:val="50000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FA56" w14:textId="77777777" w:rsidR="00BB388F" w:rsidRDefault="00BB388F" w:rsidP="008927F1">
      <w:r>
        <w:separator/>
      </w:r>
    </w:p>
  </w:footnote>
  <w:footnote w:type="continuationSeparator" w:id="0">
    <w:p w14:paraId="30DE0EB4" w14:textId="77777777" w:rsidR="00BB388F" w:rsidRDefault="00BB388F"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ACB4" w14:textId="16959FFD" w:rsidR="00AF3B8F" w:rsidRDefault="00631B17" w:rsidP="00631B17">
    <w:pPr>
      <w:pStyle w:val="Header"/>
      <w:rPr>
        <w:rStyle w:val="Heading1Char"/>
      </w:rPr>
    </w:pPr>
    <w:r>
      <w:rPr>
        <w:noProof/>
      </w:rPr>
      <w:drawing>
        <wp:inline distT="0" distB="0" distL="0" distR="0" wp14:anchorId="36D82E47" wp14:editId="2200A091">
          <wp:extent cx="2434721" cy="529287"/>
          <wp:effectExtent l="0" t="0" r="3810" b="0"/>
          <wp:docPr id="1" name="Picture 1" descr="Texas A&amp;M University primary mark brand logo" title="Texas A&amp;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B.png"/>
                  <pic:cNvPicPr/>
                </pic:nvPicPr>
                <pic:blipFill>
                  <a:blip r:embed="rId1">
                    <a:extLst>
                      <a:ext uri="{28A0092B-C50C-407E-A947-70E740481C1C}">
                        <a14:useLocalDpi xmlns:a14="http://schemas.microsoft.com/office/drawing/2010/main" val="0"/>
                      </a:ext>
                    </a:extLst>
                  </a:blip>
                  <a:stretch>
                    <a:fillRect/>
                  </a:stretch>
                </pic:blipFill>
                <pic:spPr>
                  <a:xfrm>
                    <a:off x="0" y="0"/>
                    <a:ext cx="2434721" cy="529287"/>
                  </a:xfrm>
                  <a:prstGeom prst="rect">
                    <a:avLst/>
                  </a:prstGeom>
                </pic:spPr>
              </pic:pic>
            </a:graphicData>
          </a:graphic>
        </wp:inline>
      </w:drawing>
    </w:r>
    <w:r>
      <w:tab/>
    </w:r>
    <w:r>
      <w:tab/>
    </w:r>
    <w:r w:rsidRPr="00631B17">
      <w:rPr>
        <w:rStyle w:val="Heading1Char"/>
      </w:rPr>
      <w:t>Course Syllabus</w:t>
    </w:r>
  </w:p>
  <w:p w14:paraId="710085A4" w14:textId="026FDDAF" w:rsidR="00631B17" w:rsidRPr="00CF27A4" w:rsidRDefault="00CF27A4" w:rsidP="00631B17">
    <w:pPr>
      <w:pStyle w:val="Header"/>
      <w:rPr>
        <w:sz w:val="16"/>
        <w:szCs w:val="16"/>
      </w:rPr>
    </w:pPr>
    <w:r w:rsidRPr="00CF27A4">
      <w:rPr>
        <w:noProof/>
        <w:sz w:val="16"/>
        <w:szCs w:val="16"/>
      </w:rPr>
      <mc:AlternateContent>
        <mc:Choice Requires="wps">
          <w:drawing>
            <wp:inline distT="0" distB="0" distL="0" distR="0" wp14:anchorId="57C769C2" wp14:editId="2A6CFE70">
              <wp:extent cx="5943600" cy="0"/>
              <wp:effectExtent l="0" t="0" r="19050" b="19050"/>
              <wp:docPr id="2" name="Straight Connector 2"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xmlns:w16du="http://schemas.microsoft.com/office/word/2023/wordml/word16du">
          <w:pict>
            <v:line w14:anchorId="44AE853A" id="Straight Connector 2" o:spid="_x0000_s1026" alt="Title: decorative maroon border line - Description: decorative maroon bor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" strokecolor="#500000" strokeweight="1.5pt">
              <v:stroke joinstyle="miter"/>
              <w10:anchorlock/>
            </v:line>
          </w:pict>
        </mc:Fallback>
      </mc:AlternateContent>
    </w:r>
  </w:p>
  <w:p w14:paraId="18982CE9" w14:textId="77777777" w:rsidR="00CF27A4" w:rsidRPr="00631B17" w:rsidRDefault="00CF27A4" w:rsidP="0063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7E7"/>
    <w:multiLevelType w:val="hybridMultilevel"/>
    <w:tmpl w:val="8E00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511300">
    <w:abstractNumId w:val="6"/>
  </w:num>
  <w:num w:numId="2" w16cid:durableId="1039282517">
    <w:abstractNumId w:val="8"/>
  </w:num>
  <w:num w:numId="3" w16cid:durableId="176388294">
    <w:abstractNumId w:val="9"/>
  </w:num>
  <w:num w:numId="4" w16cid:durableId="707532155">
    <w:abstractNumId w:val="7"/>
  </w:num>
  <w:num w:numId="5" w16cid:durableId="861892513">
    <w:abstractNumId w:val="1"/>
  </w:num>
  <w:num w:numId="6" w16cid:durableId="168300785">
    <w:abstractNumId w:val="3"/>
  </w:num>
  <w:num w:numId="7" w16cid:durableId="1831166939">
    <w:abstractNumId w:val="5"/>
  </w:num>
  <w:num w:numId="8" w16cid:durableId="1310136276">
    <w:abstractNumId w:val="2"/>
  </w:num>
  <w:num w:numId="9" w16cid:durableId="994991744">
    <w:abstractNumId w:val="4"/>
  </w:num>
  <w:num w:numId="10" w16cid:durableId="62759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1617B"/>
    <w:rsid w:val="00016F08"/>
    <w:rsid w:val="00033434"/>
    <w:rsid w:val="000420DD"/>
    <w:rsid w:val="00045055"/>
    <w:rsid w:val="000465B0"/>
    <w:rsid w:val="000A6FE9"/>
    <w:rsid w:val="000C302E"/>
    <w:rsid w:val="000D4975"/>
    <w:rsid w:val="00103FEC"/>
    <w:rsid w:val="0012344B"/>
    <w:rsid w:val="00123530"/>
    <w:rsid w:val="00126392"/>
    <w:rsid w:val="00127227"/>
    <w:rsid w:val="001376F7"/>
    <w:rsid w:val="001B2404"/>
    <w:rsid w:val="001C0C3F"/>
    <w:rsid w:val="002616FD"/>
    <w:rsid w:val="00281D66"/>
    <w:rsid w:val="002B6332"/>
    <w:rsid w:val="002C6613"/>
    <w:rsid w:val="002D19A6"/>
    <w:rsid w:val="002E5024"/>
    <w:rsid w:val="003035FE"/>
    <w:rsid w:val="003048A8"/>
    <w:rsid w:val="0031456A"/>
    <w:rsid w:val="00334E93"/>
    <w:rsid w:val="00362AB9"/>
    <w:rsid w:val="00380FF7"/>
    <w:rsid w:val="003B04F2"/>
    <w:rsid w:val="003E4143"/>
    <w:rsid w:val="003F1E34"/>
    <w:rsid w:val="00400847"/>
    <w:rsid w:val="004109D8"/>
    <w:rsid w:val="00441C70"/>
    <w:rsid w:val="0047448B"/>
    <w:rsid w:val="00492818"/>
    <w:rsid w:val="004A0134"/>
    <w:rsid w:val="004B5A48"/>
    <w:rsid w:val="004E41DC"/>
    <w:rsid w:val="004F490C"/>
    <w:rsid w:val="00547729"/>
    <w:rsid w:val="00577949"/>
    <w:rsid w:val="005852A3"/>
    <w:rsid w:val="005955AD"/>
    <w:rsid w:val="005E3C51"/>
    <w:rsid w:val="006036A8"/>
    <w:rsid w:val="006305DD"/>
    <w:rsid w:val="00631B17"/>
    <w:rsid w:val="00652D0A"/>
    <w:rsid w:val="00672821"/>
    <w:rsid w:val="006E6B55"/>
    <w:rsid w:val="00715F90"/>
    <w:rsid w:val="007231DB"/>
    <w:rsid w:val="007240EC"/>
    <w:rsid w:val="0073407F"/>
    <w:rsid w:val="0079574F"/>
    <w:rsid w:val="007B4A38"/>
    <w:rsid w:val="007C5CB8"/>
    <w:rsid w:val="007D69E6"/>
    <w:rsid w:val="007E1151"/>
    <w:rsid w:val="007E6179"/>
    <w:rsid w:val="00805DE2"/>
    <w:rsid w:val="00812308"/>
    <w:rsid w:val="00814FF2"/>
    <w:rsid w:val="00835830"/>
    <w:rsid w:val="008414C1"/>
    <w:rsid w:val="00887A8E"/>
    <w:rsid w:val="008927F1"/>
    <w:rsid w:val="008978E5"/>
    <w:rsid w:val="008A5C9F"/>
    <w:rsid w:val="008B3562"/>
    <w:rsid w:val="008D7BA8"/>
    <w:rsid w:val="00900C23"/>
    <w:rsid w:val="009021E5"/>
    <w:rsid w:val="00906AAC"/>
    <w:rsid w:val="00980040"/>
    <w:rsid w:val="009A45F1"/>
    <w:rsid w:val="009B7FE5"/>
    <w:rsid w:val="009C0DCC"/>
    <w:rsid w:val="009E1A4F"/>
    <w:rsid w:val="009F2157"/>
    <w:rsid w:val="00A41C3D"/>
    <w:rsid w:val="00A60155"/>
    <w:rsid w:val="00A6433F"/>
    <w:rsid w:val="00A93C02"/>
    <w:rsid w:val="00AD4F09"/>
    <w:rsid w:val="00AF3B8F"/>
    <w:rsid w:val="00B11A32"/>
    <w:rsid w:val="00B23E26"/>
    <w:rsid w:val="00B43E1D"/>
    <w:rsid w:val="00B81AAC"/>
    <w:rsid w:val="00B95296"/>
    <w:rsid w:val="00BB388F"/>
    <w:rsid w:val="00BC479A"/>
    <w:rsid w:val="00BC62F9"/>
    <w:rsid w:val="00BC7B25"/>
    <w:rsid w:val="00BD0F7E"/>
    <w:rsid w:val="00BE397C"/>
    <w:rsid w:val="00BF4B92"/>
    <w:rsid w:val="00BF4E51"/>
    <w:rsid w:val="00C37313"/>
    <w:rsid w:val="00C446C4"/>
    <w:rsid w:val="00C77DF3"/>
    <w:rsid w:val="00CC53B3"/>
    <w:rsid w:val="00CD06B6"/>
    <w:rsid w:val="00CD12A6"/>
    <w:rsid w:val="00CF27A4"/>
    <w:rsid w:val="00D8586C"/>
    <w:rsid w:val="00D923AD"/>
    <w:rsid w:val="00DA5CF3"/>
    <w:rsid w:val="00DB05DE"/>
    <w:rsid w:val="00DB6F93"/>
    <w:rsid w:val="00DC3CEE"/>
    <w:rsid w:val="00DC5D6C"/>
    <w:rsid w:val="00DD0C83"/>
    <w:rsid w:val="00DE63B6"/>
    <w:rsid w:val="00DF082E"/>
    <w:rsid w:val="00E11D5A"/>
    <w:rsid w:val="00E161DF"/>
    <w:rsid w:val="00E91669"/>
    <w:rsid w:val="00E93673"/>
    <w:rsid w:val="00EA1445"/>
    <w:rsid w:val="00EA74BC"/>
    <w:rsid w:val="00EB3BC0"/>
    <w:rsid w:val="00EC0AEC"/>
    <w:rsid w:val="00EC270D"/>
    <w:rsid w:val="00EF1ABC"/>
    <w:rsid w:val="00EF603F"/>
    <w:rsid w:val="00F25DAF"/>
    <w:rsid w:val="00F63C1E"/>
    <w:rsid w:val="00FB385D"/>
    <w:rsid w:val="00FC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C"/>
    <w:pPr>
      <w:spacing w:after="0" w:line="240" w:lineRule="auto"/>
    </w:p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szCs w:val="24"/>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 w:val="24"/>
    </w:rPr>
  </w:style>
  <w:style w:type="paragraph" w:styleId="Heading5">
    <w:name w:val="heading 5"/>
    <w:basedOn w:val="Normal"/>
    <w:next w:val="Normal"/>
    <w:link w:val="Heading5Char"/>
    <w:uiPriority w:val="9"/>
    <w:unhideWhenUsed/>
    <w:qFormat/>
    <w:rsid w:val="0012344B"/>
    <w:pPr>
      <w:keepNext/>
      <w:keepLines/>
      <w:ind w:left="720"/>
      <w:outlineLvl w:val="4"/>
    </w:pPr>
    <w:rPr>
      <w:rFonts w:asciiTheme="majorHAnsi" w:eastAsiaTheme="majorEastAsia" w:hAnsiTheme="majorHAnsi" w:cstheme="majorBidi"/>
      <w:color w:val="5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i/>
      <w:iCs/>
      <w:color w:val="44546A" w:themeColor="text2"/>
      <w:sz w:val="18"/>
      <w:szCs w:val="18"/>
    </w:rPr>
  </w:style>
  <w:style w:type="character" w:customStyle="1" w:styleId="Heading5Char">
    <w:name w:val="Heading 5 Char"/>
    <w:basedOn w:val="DefaultParagraphFont"/>
    <w:link w:val="Heading5"/>
    <w:uiPriority w:val="9"/>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style>
  <w:style w:type="paragraph" w:styleId="Header">
    <w:name w:val="header"/>
    <w:basedOn w:val="Normal"/>
    <w:link w:val="HeaderChar"/>
    <w:uiPriority w:val="99"/>
    <w:unhideWhenUsed/>
    <w:rsid w:val="008927F1"/>
    <w:pPr>
      <w:tabs>
        <w:tab w:val="center" w:pos="4680"/>
        <w:tab w:val="right" w:pos="9360"/>
      </w:tabs>
    </w:p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paragraph" w:styleId="ListBullet">
    <w:name w:val="List Bullet"/>
    <w:basedOn w:val="Normal"/>
    <w:uiPriority w:val="1"/>
    <w:unhideWhenUsed/>
    <w:qFormat/>
    <w:rsid w:val="00FC447F"/>
    <w:pPr>
      <w:numPr>
        <w:numId w:val="9"/>
      </w:numPr>
      <w:spacing w:after="120"/>
    </w:pPr>
    <w:rPr>
      <w:rFonts w:ascii="Calibri" w:hAnsi="Calibri"/>
      <w:lang w:eastAsia="ja-JP"/>
    </w:rPr>
  </w:style>
  <w:style w:type="character" w:styleId="FollowedHyperlink">
    <w:name w:val="FollowedHyperlink"/>
    <w:basedOn w:val="DefaultParagraphFont"/>
    <w:uiPriority w:val="99"/>
    <w:semiHidden/>
    <w:unhideWhenUsed/>
    <w:rsid w:val="00812308"/>
    <w:rPr>
      <w:color w:val="954F72" w:themeColor="followedHyperlink"/>
      <w:u w:val="single"/>
    </w:rPr>
  </w:style>
  <w:style w:type="character" w:customStyle="1" w:styleId="UnresolvedMention1">
    <w:name w:val="Unresolved Mention1"/>
    <w:basedOn w:val="DefaultParagraphFont"/>
    <w:uiPriority w:val="99"/>
    <w:semiHidden/>
    <w:unhideWhenUsed/>
    <w:rsid w:val="004A0134"/>
    <w:rPr>
      <w:color w:val="605E5C"/>
      <w:shd w:val="clear" w:color="auto" w:fill="E1DFDD"/>
    </w:rPr>
  </w:style>
  <w:style w:type="table" w:styleId="TableGrid">
    <w:name w:val="Table Grid"/>
    <w:basedOn w:val="TableNormal"/>
    <w:uiPriority w:val="39"/>
    <w:rsid w:val="00CD0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3327">
      <w:bodyDiv w:val="1"/>
      <w:marLeft w:val="0"/>
      <w:marRight w:val="0"/>
      <w:marTop w:val="0"/>
      <w:marBottom w:val="0"/>
      <w:divBdr>
        <w:top w:val="none" w:sz="0" w:space="0" w:color="auto"/>
        <w:left w:val="none" w:sz="0" w:space="0" w:color="auto"/>
        <w:bottom w:val="none" w:sz="0" w:space="0" w:color="auto"/>
        <w:right w:val="none" w:sz="0" w:space="0" w:color="auto"/>
      </w:divBdr>
    </w:div>
    <w:div w:id="329530468">
      <w:bodyDiv w:val="1"/>
      <w:marLeft w:val="0"/>
      <w:marRight w:val="0"/>
      <w:marTop w:val="0"/>
      <w:marBottom w:val="0"/>
      <w:divBdr>
        <w:top w:val="none" w:sz="0" w:space="0" w:color="auto"/>
        <w:left w:val="none" w:sz="0" w:space="0" w:color="auto"/>
        <w:bottom w:val="none" w:sz="0" w:space="0" w:color="auto"/>
        <w:right w:val="none" w:sz="0" w:space="0" w:color="auto"/>
      </w:divBdr>
    </w:div>
    <w:div w:id="1334917696">
      <w:bodyDiv w:val="1"/>
      <w:marLeft w:val="0"/>
      <w:marRight w:val="0"/>
      <w:marTop w:val="0"/>
      <w:marBottom w:val="0"/>
      <w:divBdr>
        <w:top w:val="none" w:sz="0" w:space="0" w:color="auto"/>
        <w:left w:val="none" w:sz="0" w:space="0" w:color="auto"/>
        <w:bottom w:val="none" w:sz="0" w:space="0" w:color="auto"/>
        <w:right w:val="none" w:sz="0" w:space="0" w:color="auto"/>
      </w:divBdr>
    </w:div>
    <w:div w:id="1341858558">
      <w:bodyDiv w:val="1"/>
      <w:marLeft w:val="0"/>
      <w:marRight w:val="0"/>
      <w:marTop w:val="0"/>
      <w:marBottom w:val="0"/>
      <w:divBdr>
        <w:top w:val="none" w:sz="0" w:space="0" w:color="auto"/>
        <w:left w:val="none" w:sz="0" w:space="0" w:color="auto"/>
        <w:bottom w:val="none" w:sz="0" w:space="0" w:color="auto"/>
        <w:right w:val="none" w:sz="0" w:space="0" w:color="auto"/>
      </w:divBdr>
    </w:div>
    <w:div w:id="18143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ent-rules.tamu.edu/rule07" TargetMode="External"/><Relationship Id="rId18" Type="http://schemas.openxmlformats.org/officeDocument/2006/relationships/hyperlink" Target="https://www.tamug.edu/HonorSystem/" TargetMode="External"/><Relationship Id="rId26" Type="http://schemas.openxmlformats.org/officeDocument/2006/relationships/hyperlink" Target="https://suicidepreventionlifeline.org/" TargetMode="External"/><Relationship Id="rId3" Type="http://schemas.openxmlformats.org/officeDocument/2006/relationships/settings" Target="settings.xml"/><Relationship Id="rId21" Type="http://schemas.openxmlformats.org/officeDocument/2006/relationships/hyperlink" Target="https://rules-saps.tamu.edu/PDFs/08.01.01.M1.pdf" TargetMode="External"/><Relationship Id="rId34" Type="http://schemas.openxmlformats.org/officeDocument/2006/relationships/glossaryDocument" Target="glossary/document.xml"/><Relationship Id="rId7" Type="http://schemas.openxmlformats.org/officeDocument/2006/relationships/hyperlink" Target="https://aggiemap.tamu.edu/?ref=howdy&amp;BldgAbbrv=HRBB" TargetMode="External"/><Relationship Id="rId12" Type="http://schemas.openxmlformats.org/officeDocument/2006/relationships/hyperlink" Target="https://student-rules.tamu.edu/rule07" TargetMode="External"/><Relationship Id="rId17" Type="http://schemas.openxmlformats.org/officeDocument/2006/relationships/hyperlink" Target="https://www.tamug.edu/HonorSystem/" TargetMode="External"/><Relationship Id="rId25" Type="http://schemas.openxmlformats.org/officeDocument/2006/relationships/hyperlink" Target="https://www.tamug.edu/hrd/Title%20IX.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ggiehonor.tamu.edu/" TargetMode="External"/><Relationship Id="rId20" Type="http://schemas.openxmlformats.org/officeDocument/2006/relationships/hyperlink" Target="https://www.tamug.edu/counsel/Disabilities.html" TargetMode="External"/><Relationship Id="rId29" Type="http://schemas.openxmlformats.org/officeDocument/2006/relationships/hyperlink" Target="https://rules-saps.tamu.edu/PDFs/12.01.99.M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hyperlink" Target="http://www.tamug.edu/counse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ggiehonor.tamu.edu/Rules-and-Procedures/Rules/Honor-System-Rules" TargetMode="External"/><Relationship Id="rId23" Type="http://schemas.openxmlformats.org/officeDocument/2006/relationships/hyperlink" Target="https://titleix.tamu.edu/" TargetMode="External"/><Relationship Id="rId28" Type="http://schemas.openxmlformats.org/officeDocument/2006/relationships/hyperlink" Target="https://suicidepreventionlifeline.org/" TargetMode="External"/><Relationship Id="rId10" Type="http://schemas.openxmlformats.org/officeDocument/2006/relationships/hyperlink" Target="https://student-rules.tamu.edu/rule07/" TargetMode="External"/><Relationship Id="rId19" Type="http://schemas.openxmlformats.org/officeDocument/2006/relationships/hyperlink" Target="https://disability.tamu.edu/"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amug.edu/commons" TargetMode="External"/><Relationship Id="rId14" Type="http://schemas.openxmlformats.org/officeDocument/2006/relationships/hyperlink" Target="https://student-rules.tamu.edu/rule24/" TargetMode="External"/><Relationship Id="rId22" Type="http://schemas.openxmlformats.org/officeDocument/2006/relationships/hyperlink" Target="https://caps.tamu.edu/" TargetMode="External"/><Relationship Id="rId27" Type="http://schemas.openxmlformats.org/officeDocument/2006/relationships/hyperlink" Target="https://www.tamug.edu/counsel/Disabilities.html" TargetMode="External"/><Relationship Id="rId30" Type="http://schemas.openxmlformats.org/officeDocument/2006/relationships/hyperlink" Target="https://www.tamug.edu/studentrules/Students_Rights_Responsibilities.html" TargetMode="External"/><Relationship Id="rId35" Type="http://schemas.openxmlformats.org/officeDocument/2006/relationships/theme" Target="theme/theme1.xml"/><Relationship Id="rId8" Type="http://schemas.openxmlformats.org/officeDocument/2006/relationships/hyperlink" Target="https://student-rules.tamu.edu/rule0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2AFA4757F541088F0878B1C5C64CCB"/>
        <w:category>
          <w:name w:val="General"/>
          <w:gallery w:val="placeholder"/>
        </w:category>
        <w:types>
          <w:type w:val="bbPlcHdr"/>
        </w:types>
        <w:behaviors>
          <w:behavior w:val="content"/>
        </w:behaviors>
        <w:guid w:val="{7C355A76-F03E-4346-BF85-FBDB8B55C033}"/>
      </w:docPartPr>
      <w:docPartBody>
        <w:p w:rsidR="009F5952" w:rsidRDefault="00357B2F" w:rsidP="00357B2F">
          <w:pPr>
            <w:pStyle w:val="A42AFA4757F541088F0878B1C5C64CCB"/>
          </w:pPr>
          <w:r>
            <w:t xml:space="preserve">Classroom Access and </w:t>
          </w:r>
          <w:r>
            <w:rPr>
              <w:rStyle w:val="heading2char"/>
              <w:color w:val="003C71"/>
              <w:sz w:val="26"/>
            </w:rPr>
            <w:t>Inclusion Statement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2F"/>
    <w:rsid w:val="000436CC"/>
    <w:rsid w:val="000E3FF0"/>
    <w:rsid w:val="002B5F10"/>
    <w:rsid w:val="002E6809"/>
    <w:rsid w:val="00357B2F"/>
    <w:rsid w:val="004132C7"/>
    <w:rsid w:val="00467FAB"/>
    <w:rsid w:val="004E4523"/>
    <w:rsid w:val="004F6D31"/>
    <w:rsid w:val="006A5923"/>
    <w:rsid w:val="0086281E"/>
    <w:rsid w:val="008728BC"/>
    <w:rsid w:val="009F5952"/>
    <w:rsid w:val="009F63FF"/>
    <w:rsid w:val="00A539E6"/>
    <w:rsid w:val="00B4537B"/>
    <w:rsid w:val="00B56196"/>
    <w:rsid w:val="00B6207D"/>
    <w:rsid w:val="00BA20B6"/>
    <w:rsid w:val="00EA349B"/>
    <w:rsid w:val="00F85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7B2F"/>
    <w:rPr>
      <w:color w:val="434928"/>
      <w:u w:val="single"/>
    </w:rPr>
  </w:style>
  <w:style w:type="character" w:customStyle="1" w:styleId="heading2char">
    <w:name w:val="heading2char"/>
    <w:basedOn w:val="DefaultParagraphFont"/>
    <w:rsid w:val="00357B2F"/>
  </w:style>
  <w:style w:type="paragraph" w:customStyle="1" w:styleId="A42AFA4757F541088F0878B1C5C64CCB">
    <w:name w:val="A42AFA4757F541088F0878B1C5C64CCB"/>
    <w:rsid w:val="00357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2023-06-01T22:08:00Z</dcterms:created>
  <dcterms:modified xsi:type="dcterms:W3CDTF">2023-08-28T20:22:00Z</dcterms:modified>
</cp:coreProperties>
</file>