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ED6E" w14:textId="1B342E70" w:rsidR="00911BBE" w:rsidRPr="00816EC9" w:rsidRDefault="00CA327A" w:rsidP="00911BBE">
      <w:pPr>
        <w:jc w:val="center"/>
        <w:rPr>
          <w:b/>
          <w:sz w:val="40"/>
          <w:szCs w:val="40"/>
        </w:rPr>
      </w:pPr>
      <w:r w:rsidRPr="00816EC9">
        <w:rPr>
          <w:b/>
          <w:sz w:val="40"/>
          <w:szCs w:val="40"/>
        </w:rPr>
        <w:t>SAM TANG</w:t>
      </w:r>
      <w:r w:rsidR="005D3CE5" w:rsidRPr="005D3CE5">
        <w:rPr>
          <w:b/>
          <w:sz w:val="40"/>
          <w:szCs w:val="40"/>
        </w:rPr>
        <w:t>, CFA</w:t>
      </w:r>
    </w:p>
    <w:p w14:paraId="10EDA801" w14:textId="394B9DE3" w:rsidR="00C44B22" w:rsidRPr="00210F90" w:rsidRDefault="00C44B22" w:rsidP="00C44B2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+1 </w:t>
      </w:r>
      <w:r w:rsidRPr="00510D74">
        <w:rPr>
          <w:sz w:val="20"/>
          <w:szCs w:val="20"/>
        </w:rPr>
        <w:t>(</w:t>
      </w:r>
      <w:r w:rsidRPr="00C44B22">
        <w:rPr>
          <w:sz w:val="20"/>
          <w:szCs w:val="20"/>
        </w:rPr>
        <w:t>917) 286 8819</w:t>
      </w:r>
      <w:r w:rsidR="00850244">
        <w:rPr>
          <w:sz w:val="20"/>
          <w:szCs w:val="20"/>
        </w:rPr>
        <w:t xml:space="preserve">   |  </w:t>
      </w:r>
      <w:r w:rsidRPr="00510D74">
        <w:rPr>
          <w:sz w:val="20"/>
          <w:szCs w:val="20"/>
        </w:rPr>
        <w:t xml:space="preserve"> </w:t>
      </w:r>
      <w:hyperlink r:id="rId8" w:history="1">
        <w:r w:rsidRPr="00A83639">
          <w:rPr>
            <w:rStyle w:val="Hyperlink"/>
            <w:sz w:val="20"/>
            <w:szCs w:val="20"/>
          </w:rPr>
          <w:t>sam.tang@us.bnpparibas.com</w:t>
        </w:r>
      </w:hyperlink>
      <w:r>
        <w:rPr>
          <w:sz w:val="20"/>
          <w:szCs w:val="20"/>
        </w:rPr>
        <w:t xml:space="preserve">  </w:t>
      </w:r>
      <w:r w:rsidRPr="00510D74">
        <w:rPr>
          <w:sz w:val="20"/>
          <w:szCs w:val="20"/>
        </w:rPr>
        <w:t xml:space="preserve"> </w:t>
      </w:r>
    </w:p>
    <w:p w14:paraId="0852EA76" w14:textId="77777777" w:rsidR="00C44B22" w:rsidRPr="00850244" w:rsidRDefault="00C44B22" w:rsidP="00C44B22">
      <w:pPr>
        <w:tabs>
          <w:tab w:val="right" w:pos="10080"/>
        </w:tabs>
        <w:rPr>
          <w:sz w:val="20"/>
          <w:szCs w:val="20"/>
        </w:rPr>
      </w:pPr>
    </w:p>
    <w:p w14:paraId="7316C004" w14:textId="77777777" w:rsidR="000C738D" w:rsidRPr="000C738D" w:rsidRDefault="000C738D" w:rsidP="009C4626">
      <w:pPr>
        <w:pBdr>
          <w:bottom w:val="single" w:sz="6" w:space="1" w:color="auto"/>
        </w:pBdr>
        <w:rPr>
          <w:b/>
          <w:sz w:val="10"/>
          <w:szCs w:val="10"/>
        </w:rPr>
      </w:pPr>
    </w:p>
    <w:p w14:paraId="265CE099" w14:textId="77777777" w:rsidR="008C40BA" w:rsidRPr="00816EC9" w:rsidRDefault="008C40BA" w:rsidP="009C4626">
      <w:pPr>
        <w:pBdr>
          <w:bottom w:val="single" w:sz="6" w:space="1" w:color="auto"/>
        </w:pBdr>
        <w:rPr>
          <w:b/>
          <w:sz w:val="20"/>
          <w:szCs w:val="20"/>
        </w:rPr>
      </w:pPr>
      <w:r w:rsidRPr="00816EC9">
        <w:rPr>
          <w:b/>
          <w:sz w:val="20"/>
          <w:szCs w:val="20"/>
        </w:rPr>
        <w:t>PROFESSIONAL EXPERIENCE</w:t>
      </w:r>
    </w:p>
    <w:p w14:paraId="5421240C" w14:textId="1833D4AA" w:rsidR="005521E8" w:rsidRDefault="005D3CE5" w:rsidP="005521E8">
      <w:pPr>
        <w:tabs>
          <w:tab w:val="right" w:pos="10080"/>
        </w:tabs>
        <w:rPr>
          <w:sz w:val="20"/>
          <w:szCs w:val="20"/>
        </w:rPr>
      </w:pPr>
      <w:r>
        <w:rPr>
          <w:b/>
          <w:sz w:val="20"/>
          <w:szCs w:val="20"/>
        </w:rPr>
        <w:t>Vice President</w:t>
      </w:r>
      <w:r w:rsidR="005521E8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Global Banking Americas</w:t>
      </w:r>
      <w:r w:rsidR="005521E8">
        <w:rPr>
          <w:sz w:val="20"/>
          <w:szCs w:val="20"/>
        </w:rPr>
        <w:tab/>
      </w:r>
      <w:r>
        <w:rPr>
          <w:sz w:val="20"/>
          <w:szCs w:val="20"/>
        </w:rPr>
        <w:t>March 2018</w:t>
      </w:r>
      <w:r w:rsidR="005521E8">
        <w:rPr>
          <w:sz w:val="20"/>
          <w:szCs w:val="20"/>
        </w:rPr>
        <w:t xml:space="preserve"> – Present</w:t>
      </w:r>
    </w:p>
    <w:p w14:paraId="3E0468F5" w14:textId="112D3510" w:rsidR="005D3CE5" w:rsidRPr="00816EC9" w:rsidRDefault="005D3CE5" w:rsidP="005521E8">
      <w:pPr>
        <w:tabs>
          <w:tab w:val="right" w:pos="10080"/>
        </w:tabs>
        <w:rPr>
          <w:sz w:val="20"/>
          <w:szCs w:val="20"/>
        </w:rPr>
      </w:pPr>
      <w:r>
        <w:rPr>
          <w:b/>
          <w:sz w:val="20"/>
          <w:szCs w:val="20"/>
        </w:rPr>
        <w:t>Associate, Global Banking Americas</w:t>
      </w:r>
      <w:r>
        <w:rPr>
          <w:sz w:val="20"/>
          <w:szCs w:val="20"/>
        </w:rPr>
        <w:tab/>
        <w:t>August 2015 – March 2018</w:t>
      </w:r>
    </w:p>
    <w:p w14:paraId="1670D1BB" w14:textId="77777777" w:rsidR="005521E8" w:rsidRDefault="005521E8" w:rsidP="005521E8">
      <w:pPr>
        <w:tabs>
          <w:tab w:val="right" w:pos="10080"/>
        </w:tabs>
        <w:rPr>
          <w:sz w:val="20"/>
          <w:szCs w:val="20"/>
        </w:rPr>
      </w:pPr>
      <w:r>
        <w:rPr>
          <w:i/>
          <w:sz w:val="20"/>
          <w:szCs w:val="20"/>
        </w:rPr>
        <w:t>BNP Paribas SA</w:t>
      </w:r>
      <w:r>
        <w:rPr>
          <w:sz w:val="20"/>
          <w:szCs w:val="20"/>
        </w:rPr>
        <w:t>, New York, NY</w:t>
      </w:r>
    </w:p>
    <w:p w14:paraId="012A9F98" w14:textId="77777777" w:rsidR="00070220" w:rsidRPr="00884682" w:rsidRDefault="00070220" w:rsidP="00884682">
      <w:pPr>
        <w:rPr>
          <w:sz w:val="10"/>
          <w:szCs w:val="10"/>
        </w:rPr>
      </w:pPr>
    </w:p>
    <w:p w14:paraId="2328571F" w14:textId="51C3506E" w:rsidR="00831A6E" w:rsidRDefault="00831A6E" w:rsidP="00831A6E">
      <w:pPr>
        <w:jc w:val="both"/>
        <w:rPr>
          <w:sz w:val="20"/>
          <w:szCs w:val="20"/>
        </w:rPr>
      </w:pPr>
      <w:r>
        <w:rPr>
          <w:sz w:val="20"/>
          <w:szCs w:val="20"/>
        </w:rPr>
        <w:t>Analytics &amp; Business Development</w:t>
      </w:r>
    </w:p>
    <w:p w14:paraId="66D33BF3" w14:textId="29EBEDDF" w:rsidR="00C44B22" w:rsidRDefault="00C44B22" w:rsidP="00C44B22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Contribute to the strategic development of </w:t>
      </w:r>
      <w:r>
        <w:rPr>
          <w:sz w:val="20"/>
          <w:szCs w:val="20"/>
        </w:rPr>
        <w:t>Global</w:t>
      </w:r>
      <w:r>
        <w:rPr>
          <w:sz w:val="20"/>
          <w:szCs w:val="20"/>
        </w:rPr>
        <w:t xml:space="preserve"> Banking Americas, </w:t>
      </w:r>
      <w:r w:rsidR="00850244">
        <w:rPr>
          <w:sz w:val="20"/>
          <w:szCs w:val="20"/>
        </w:rPr>
        <w:t xml:space="preserve">with a focus on </w:t>
      </w:r>
      <w:r>
        <w:rPr>
          <w:sz w:val="20"/>
          <w:szCs w:val="20"/>
        </w:rPr>
        <w:t>the Trade &amp; Treasury Solutions (T&amp;TS) Americas business line</w:t>
      </w:r>
      <w:r w:rsidR="00850244">
        <w:rPr>
          <w:sz w:val="20"/>
          <w:szCs w:val="20"/>
        </w:rPr>
        <w:t>s</w:t>
      </w:r>
      <w:r>
        <w:rPr>
          <w:sz w:val="20"/>
          <w:szCs w:val="20"/>
        </w:rPr>
        <w:t xml:space="preserve">. </w:t>
      </w:r>
      <w:r w:rsidRPr="00C44B22">
        <w:rPr>
          <w:sz w:val="20"/>
          <w:szCs w:val="20"/>
        </w:rPr>
        <w:t xml:space="preserve">Responsible for </w:t>
      </w:r>
      <w:r>
        <w:rPr>
          <w:sz w:val="20"/>
          <w:szCs w:val="20"/>
        </w:rPr>
        <w:t>providing analysis and insight</w:t>
      </w:r>
      <w:r w:rsidRPr="00C44B22">
        <w:rPr>
          <w:sz w:val="20"/>
          <w:szCs w:val="20"/>
        </w:rPr>
        <w:t xml:space="preserve"> spanning the organization including business development, analytics, and resource management (costs, capital and liquidity).</w:t>
      </w:r>
    </w:p>
    <w:p w14:paraId="50AFBEF4" w14:textId="486A7F5D" w:rsidR="00C44B22" w:rsidRPr="00E72582" w:rsidRDefault="00C44B22" w:rsidP="00C44B22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Lead analysis and management of various </w:t>
      </w:r>
      <w:r>
        <w:rPr>
          <w:sz w:val="20"/>
          <w:szCs w:val="20"/>
        </w:rPr>
        <w:t xml:space="preserve">Global </w:t>
      </w:r>
      <w:r w:rsidRPr="00E72582">
        <w:rPr>
          <w:sz w:val="20"/>
          <w:szCs w:val="20"/>
        </w:rPr>
        <w:t xml:space="preserve">Banking </w:t>
      </w:r>
      <w:r>
        <w:rPr>
          <w:sz w:val="20"/>
          <w:szCs w:val="20"/>
        </w:rPr>
        <w:t>and T&amp;TS business</w:t>
      </w:r>
      <w:r w:rsidRPr="00E72582">
        <w:rPr>
          <w:sz w:val="20"/>
          <w:szCs w:val="20"/>
        </w:rPr>
        <w:t xml:space="preserve"> an</w:t>
      </w:r>
      <w:r>
        <w:rPr>
          <w:sz w:val="20"/>
          <w:szCs w:val="20"/>
        </w:rPr>
        <w:t>d</w:t>
      </w:r>
      <w:r w:rsidRPr="00E72582">
        <w:rPr>
          <w:sz w:val="20"/>
          <w:szCs w:val="20"/>
        </w:rPr>
        <w:t xml:space="preserve"> strategic initiatives</w:t>
      </w:r>
      <w:r>
        <w:rPr>
          <w:sz w:val="20"/>
          <w:szCs w:val="20"/>
        </w:rPr>
        <w:t>, including coordination on audit and regulatory requests, forecasting and budgeting, pipeline and sales management, and strategy</w:t>
      </w:r>
      <w:r w:rsidRPr="00E72582">
        <w:rPr>
          <w:sz w:val="20"/>
          <w:szCs w:val="20"/>
        </w:rPr>
        <w:t>.</w:t>
      </w:r>
    </w:p>
    <w:p w14:paraId="430E1418" w14:textId="77777777" w:rsidR="00850244" w:rsidRDefault="00C44B22" w:rsidP="00C44B22">
      <w:pPr>
        <w:numPr>
          <w:ilvl w:val="0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Managed</w:t>
      </w:r>
      <w:r w:rsidR="00831A6E">
        <w:rPr>
          <w:sz w:val="20"/>
          <w:szCs w:val="20"/>
        </w:rPr>
        <w:t xml:space="preserve"> </w:t>
      </w:r>
      <w:r w:rsidR="008E716E">
        <w:rPr>
          <w:sz w:val="20"/>
          <w:szCs w:val="20"/>
        </w:rPr>
        <w:t>and develop</w:t>
      </w:r>
      <w:r>
        <w:rPr>
          <w:sz w:val="20"/>
          <w:szCs w:val="20"/>
        </w:rPr>
        <w:t>ed</w:t>
      </w:r>
      <w:r w:rsidR="008E716E">
        <w:rPr>
          <w:sz w:val="20"/>
          <w:szCs w:val="20"/>
        </w:rPr>
        <w:t xml:space="preserve"> </w:t>
      </w:r>
      <w:r w:rsidR="00831A6E">
        <w:rPr>
          <w:sz w:val="20"/>
          <w:szCs w:val="20"/>
        </w:rPr>
        <w:t xml:space="preserve">2 direct reports who I recruited. </w:t>
      </w:r>
    </w:p>
    <w:p w14:paraId="78F4E7C3" w14:textId="3FD0DE8B" w:rsidR="00831A6E" w:rsidRPr="00C44B22" w:rsidRDefault="00850244" w:rsidP="00C44B22">
      <w:pPr>
        <w:numPr>
          <w:ilvl w:val="0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>Emerging leader:</w:t>
      </w:r>
      <w:r w:rsidR="00842715" w:rsidRPr="00C44B22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="00842715" w:rsidRPr="00C44B22">
        <w:rPr>
          <w:sz w:val="20"/>
          <w:szCs w:val="20"/>
        </w:rPr>
        <w:t xml:space="preserve">nducted into </w:t>
      </w:r>
      <w:r w:rsidR="00831A6E" w:rsidRPr="00C44B22">
        <w:rPr>
          <w:sz w:val="20"/>
          <w:szCs w:val="20"/>
        </w:rPr>
        <w:t xml:space="preserve">Leaders for Tomorrow program </w:t>
      </w:r>
      <w:r w:rsidR="0007481A" w:rsidRPr="00C44B22">
        <w:rPr>
          <w:sz w:val="20"/>
          <w:szCs w:val="20"/>
        </w:rPr>
        <w:t xml:space="preserve">in </w:t>
      </w:r>
      <w:r w:rsidR="00842715" w:rsidRPr="00C44B22">
        <w:rPr>
          <w:sz w:val="20"/>
          <w:szCs w:val="20"/>
        </w:rPr>
        <w:t>March 2019</w:t>
      </w:r>
      <w:r w:rsidR="00C44B22">
        <w:rPr>
          <w:sz w:val="20"/>
          <w:szCs w:val="20"/>
        </w:rPr>
        <w:t xml:space="preserve"> and will </w:t>
      </w:r>
      <w:r>
        <w:rPr>
          <w:sz w:val="20"/>
          <w:szCs w:val="20"/>
        </w:rPr>
        <w:t>be a member of the</w:t>
      </w:r>
      <w:r w:rsidR="00C44B22">
        <w:rPr>
          <w:sz w:val="20"/>
          <w:szCs w:val="20"/>
        </w:rPr>
        <w:t xml:space="preserve"> GBA </w:t>
      </w:r>
      <w:proofErr w:type="spellStart"/>
      <w:r w:rsidR="00C44B22">
        <w:rPr>
          <w:sz w:val="20"/>
          <w:szCs w:val="20"/>
        </w:rPr>
        <w:t>NExCo</w:t>
      </w:r>
      <w:proofErr w:type="spellEnd"/>
      <w:r w:rsidR="008E716E" w:rsidRPr="00C44B22">
        <w:rPr>
          <w:sz w:val="20"/>
          <w:szCs w:val="20"/>
        </w:rPr>
        <w:t xml:space="preserve">. </w:t>
      </w:r>
    </w:p>
    <w:p w14:paraId="166F0CAB" w14:textId="77777777" w:rsidR="00F1151D" w:rsidRPr="00F1151D" w:rsidRDefault="00F1151D" w:rsidP="00831A6E">
      <w:pPr>
        <w:jc w:val="both"/>
        <w:rPr>
          <w:sz w:val="10"/>
          <w:szCs w:val="10"/>
        </w:rPr>
      </w:pPr>
    </w:p>
    <w:p w14:paraId="14A9E05F" w14:textId="1B083184" w:rsidR="00C44B22" w:rsidRPr="00C44B22" w:rsidRDefault="008E716E" w:rsidP="00C44B22">
      <w:pPr>
        <w:jc w:val="both"/>
        <w:rPr>
          <w:i/>
          <w:iCs/>
          <w:sz w:val="20"/>
          <w:szCs w:val="20"/>
        </w:rPr>
      </w:pPr>
      <w:r w:rsidRPr="008E716E">
        <w:rPr>
          <w:i/>
          <w:iCs/>
          <w:sz w:val="20"/>
          <w:szCs w:val="20"/>
        </w:rPr>
        <w:t xml:space="preserve">Selected Projects / Initiatives: </w:t>
      </w:r>
    </w:p>
    <w:p w14:paraId="54114665" w14:textId="77777777" w:rsidR="00C44B22" w:rsidRPr="004A41B2" w:rsidRDefault="00C44B22" w:rsidP="00C44B22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Perform ongoing portfolio analysis of Trade &amp; Treasury Solutions and pipeline; develop and support strategic plans. </w:t>
      </w:r>
    </w:p>
    <w:p w14:paraId="35C67F23" w14:textId="4F40C509" w:rsidR="00C44B22" w:rsidRPr="002A597B" w:rsidRDefault="00C44B22" w:rsidP="00C44B22">
      <w:pPr>
        <w:numPr>
          <w:ilvl w:val="0"/>
          <w:numId w:val="19"/>
        </w:numPr>
        <w:rPr>
          <w:sz w:val="20"/>
          <w:szCs w:val="20"/>
        </w:rPr>
      </w:pPr>
      <w:r w:rsidRPr="00E72582">
        <w:rPr>
          <w:sz w:val="20"/>
          <w:szCs w:val="20"/>
        </w:rPr>
        <w:t xml:space="preserve">Design/collect/present KPIs for </w:t>
      </w:r>
      <w:r>
        <w:rPr>
          <w:sz w:val="20"/>
          <w:szCs w:val="20"/>
        </w:rPr>
        <w:t xml:space="preserve">business units within Trade &amp; Treasury Solutions and </w:t>
      </w:r>
      <w:r>
        <w:rPr>
          <w:sz w:val="20"/>
          <w:szCs w:val="20"/>
        </w:rPr>
        <w:t>Global</w:t>
      </w:r>
      <w:r>
        <w:rPr>
          <w:sz w:val="20"/>
          <w:szCs w:val="20"/>
        </w:rPr>
        <w:t xml:space="preserve"> Banking Americas.</w:t>
      </w:r>
    </w:p>
    <w:p w14:paraId="3320611B" w14:textId="4AF641E7" w:rsidR="00F230E2" w:rsidRDefault="004A41B2" w:rsidP="00831A6E">
      <w:pPr>
        <w:numPr>
          <w:ilvl w:val="0"/>
          <w:numId w:val="19"/>
        </w:numPr>
        <w:jc w:val="both"/>
        <w:rPr>
          <w:sz w:val="20"/>
          <w:szCs w:val="20"/>
        </w:rPr>
      </w:pPr>
      <w:r w:rsidRPr="0007481A">
        <w:rPr>
          <w:sz w:val="20"/>
          <w:szCs w:val="20"/>
        </w:rPr>
        <w:t>Conduct</w:t>
      </w:r>
      <w:r w:rsidR="00481FF4" w:rsidRPr="0007481A">
        <w:rPr>
          <w:sz w:val="20"/>
          <w:szCs w:val="20"/>
        </w:rPr>
        <w:t xml:space="preserve"> </w:t>
      </w:r>
      <w:r w:rsidR="00842715">
        <w:rPr>
          <w:sz w:val="20"/>
          <w:szCs w:val="20"/>
        </w:rPr>
        <w:t>analyses</w:t>
      </w:r>
      <w:r w:rsidR="00481FF4" w:rsidRPr="0007481A">
        <w:rPr>
          <w:sz w:val="20"/>
          <w:szCs w:val="20"/>
        </w:rPr>
        <w:t xml:space="preserve"> of country</w:t>
      </w:r>
      <w:r w:rsidR="00547BD8" w:rsidRPr="0007481A">
        <w:rPr>
          <w:sz w:val="20"/>
          <w:szCs w:val="20"/>
        </w:rPr>
        <w:t>, client,</w:t>
      </w:r>
      <w:r w:rsidR="00481FF4" w:rsidRPr="0007481A">
        <w:rPr>
          <w:sz w:val="20"/>
          <w:szCs w:val="20"/>
        </w:rPr>
        <w:t xml:space="preserve"> and p</w:t>
      </w:r>
      <w:r w:rsidRPr="0007481A">
        <w:rPr>
          <w:sz w:val="20"/>
          <w:szCs w:val="20"/>
        </w:rPr>
        <w:t>roduct strategy for Trade &amp; Treasury Solutions busine</w:t>
      </w:r>
      <w:r w:rsidR="004F6624" w:rsidRPr="0007481A">
        <w:rPr>
          <w:sz w:val="20"/>
          <w:szCs w:val="20"/>
        </w:rPr>
        <w:t>ss lines.</w:t>
      </w:r>
    </w:p>
    <w:p w14:paraId="425CCAB9" w14:textId="7C3A0D97" w:rsidR="005521E8" w:rsidRDefault="00F230E2" w:rsidP="00831A6E">
      <w:pPr>
        <w:numPr>
          <w:ilvl w:val="0"/>
          <w:numId w:val="19"/>
        </w:numPr>
        <w:jc w:val="both"/>
        <w:rPr>
          <w:sz w:val="20"/>
          <w:szCs w:val="20"/>
        </w:rPr>
      </w:pPr>
      <w:r w:rsidRPr="00F230E2">
        <w:rPr>
          <w:sz w:val="20"/>
          <w:szCs w:val="20"/>
        </w:rPr>
        <w:t>Analyze product penetration across multiple relationship and capital metrics to maximize return.</w:t>
      </w:r>
    </w:p>
    <w:p w14:paraId="5A285051" w14:textId="77777777" w:rsidR="00F230E2" w:rsidRPr="00F230E2" w:rsidRDefault="00F230E2" w:rsidP="00F230E2">
      <w:pPr>
        <w:jc w:val="both"/>
        <w:rPr>
          <w:sz w:val="10"/>
          <w:szCs w:val="10"/>
        </w:rPr>
      </w:pPr>
    </w:p>
    <w:p w14:paraId="7CD9F6B1" w14:textId="77777777" w:rsidR="00510D74" w:rsidRPr="00816EC9" w:rsidRDefault="00911CFB" w:rsidP="00831A6E">
      <w:pPr>
        <w:tabs>
          <w:tab w:val="right" w:pos="1008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Analyst</w:t>
      </w:r>
      <w:r w:rsidR="00AE0573">
        <w:rPr>
          <w:b/>
          <w:sz w:val="20"/>
          <w:szCs w:val="20"/>
        </w:rPr>
        <w:t xml:space="preserve">, </w:t>
      </w:r>
      <w:r w:rsidR="00D905F1">
        <w:rPr>
          <w:b/>
          <w:sz w:val="20"/>
          <w:szCs w:val="20"/>
        </w:rPr>
        <w:t xml:space="preserve">Corporate and </w:t>
      </w:r>
      <w:r w:rsidR="00510D74">
        <w:rPr>
          <w:b/>
          <w:sz w:val="20"/>
          <w:szCs w:val="20"/>
        </w:rPr>
        <w:t>In</w:t>
      </w:r>
      <w:r w:rsidR="00D905F1">
        <w:rPr>
          <w:b/>
          <w:sz w:val="20"/>
          <w:szCs w:val="20"/>
        </w:rPr>
        <w:t>stitutional</w:t>
      </w:r>
      <w:r w:rsidR="00510D74">
        <w:rPr>
          <w:b/>
          <w:sz w:val="20"/>
          <w:szCs w:val="20"/>
        </w:rPr>
        <w:t xml:space="preserve"> Banking</w:t>
      </w:r>
      <w:r w:rsidR="001B5BA5">
        <w:rPr>
          <w:sz w:val="20"/>
          <w:szCs w:val="20"/>
        </w:rPr>
        <w:tab/>
        <w:t>July</w:t>
      </w:r>
      <w:r w:rsidR="00AE0573">
        <w:rPr>
          <w:sz w:val="20"/>
          <w:szCs w:val="20"/>
        </w:rPr>
        <w:t xml:space="preserve"> 2013</w:t>
      </w:r>
      <w:r w:rsidR="005521E8">
        <w:rPr>
          <w:sz w:val="20"/>
          <w:szCs w:val="20"/>
        </w:rPr>
        <w:t xml:space="preserve"> – July 2015</w:t>
      </w:r>
    </w:p>
    <w:p w14:paraId="50D9DC2F" w14:textId="77777777" w:rsidR="00510D74" w:rsidRDefault="001B5BA5" w:rsidP="00831A6E">
      <w:pPr>
        <w:tabs>
          <w:tab w:val="right" w:pos="10080"/>
        </w:tabs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The </w:t>
      </w:r>
      <w:r w:rsidR="00510D74">
        <w:rPr>
          <w:i/>
          <w:sz w:val="20"/>
          <w:szCs w:val="20"/>
        </w:rPr>
        <w:t>Royal Bank of Scotland</w:t>
      </w:r>
      <w:r w:rsidR="00510D74">
        <w:rPr>
          <w:sz w:val="20"/>
          <w:szCs w:val="20"/>
        </w:rPr>
        <w:t>, Stamford, CT</w:t>
      </w:r>
    </w:p>
    <w:p w14:paraId="50E0E8E4" w14:textId="77777777" w:rsidR="00981DA7" w:rsidRPr="00271448" w:rsidRDefault="00981DA7" w:rsidP="00831A6E">
      <w:pPr>
        <w:tabs>
          <w:tab w:val="right" w:pos="10080"/>
        </w:tabs>
        <w:jc w:val="both"/>
        <w:rPr>
          <w:b/>
          <w:sz w:val="10"/>
          <w:szCs w:val="10"/>
        </w:rPr>
      </w:pPr>
    </w:p>
    <w:p w14:paraId="5F53494B" w14:textId="77777777" w:rsidR="00271448" w:rsidRPr="009E1ED2" w:rsidRDefault="00271448" w:rsidP="00831A6E">
      <w:pPr>
        <w:tabs>
          <w:tab w:val="right" w:pos="10080"/>
        </w:tabs>
        <w:jc w:val="both"/>
        <w:rPr>
          <w:sz w:val="20"/>
          <w:szCs w:val="20"/>
        </w:rPr>
      </w:pPr>
      <w:r w:rsidRPr="009E1ED2">
        <w:rPr>
          <w:sz w:val="20"/>
          <w:szCs w:val="20"/>
        </w:rPr>
        <w:t>Capital Resolution &amp; Restructuring</w:t>
      </w:r>
      <w:r w:rsidR="005521E8" w:rsidRPr="009E1ED2">
        <w:rPr>
          <w:sz w:val="20"/>
          <w:szCs w:val="20"/>
        </w:rPr>
        <w:tab/>
        <w:t>March 2015 – July 2015</w:t>
      </w:r>
    </w:p>
    <w:p w14:paraId="568ECE23" w14:textId="77777777" w:rsidR="00850244" w:rsidRDefault="00850244" w:rsidP="00850244">
      <w:pPr>
        <w:numPr>
          <w:ilvl w:val="0"/>
          <w:numId w:val="8"/>
        </w:numPr>
        <w:rPr>
          <w:sz w:val="20"/>
          <w:szCs w:val="20"/>
        </w:rPr>
      </w:pPr>
      <w:r w:rsidRPr="00F33A06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F33A06">
        <w:rPr>
          <w:sz w:val="20"/>
          <w:szCs w:val="20"/>
        </w:rPr>
        <w:t xml:space="preserve"> and manage</w:t>
      </w:r>
      <w:r>
        <w:rPr>
          <w:sz w:val="20"/>
          <w:szCs w:val="20"/>
        </w:rPr>
        <w:t>d</w:t>
      </w:r>
      <w:r w:rsidRPr="00F33A06">
        <w:rPr>
          <w:sz w:val="20"/>
          <w:szCs w:val="20"/>
        </w:rPr>
        <w:t xml:space="preserve"> the strategic exit </w:t>
      </w:r>
      <w:r>
        <w:rPr>
          <w:sz w:val="20"/>
          <w:szCs w:val="20"/>
        </w:rPr>
        <w:t xml:space="preserve">plan </w:t>
      </w:r>
      <w:r w:rsidRPr="00F33A06">
        <w:rPr>
          <w:sz w:val="20"/>
          <w:szCs w:val="20"/>
        </w:rPr>
        <w:t>of Global Transaction Services (GTS) Americas across the corporate and institutional client base</w:t>
      </w:r>
      <w:r>
        <w:rPr>
          <w:sz w:val="20"/>
          <w:szCs w:val="20"/>
        </w:rPr>
        <w:t xml:space="preserve"> (over 800 clients in 34 countries)</w:t>
      </w:r>
      <w:r w:rsidRPr="00F33A06">
        <w:rPr>
          <w:sz w:val="20"/>
          <w:szCs w:val="20"/>
        </w:rPr>
        <w:t xml:space="preserve"> to minimize exposure and release capital efficiently.</w:t>
      </w:r>
    </w:p>
    <w:p w14:paraId="3F86E5A3" w14:textId="65092564" w:rsidR="00850244" w:rsidRPr="00FA4335" w:rsidRDefault="00850244" w:rsidP="00850244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Collaborated with product experts to manage unwinding of short-term </w:t>
      </w:r>
      <w:r>
        <w:rPr>
          <w:sz w:val="20"/>
          <w:szCs w:val="20"/>
        </w:rPr>
        <w:t>trade finance portfolio</w:t>
      </w:r>
      <w:r>
        <w:rPr>
          <w:sz w:val="20"/>
          <w:szCs w:val="20"/>
        </w:rPr>
        <w:t>, including review of bespoke documentation and supporting due diligence activities associated with the exit plan.</w:t>
      </w:r>
    </w:p>
    <w:p w14:paraId="35247EA6" w14:textId="77777777" w:rsidR="00850244" w:rsidRPr="005F3B65" w:rsidRDefault="00850244" w:rsidP="00850244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Contributed to front-to-back project planning and governance across all aspects of the strategic exit – including client management and communication, resource planning, and risk management.</w:t>
      </w:r>
    </w:p>
    <w:p w14:paraId="3FC8D7B3" w14:textId="77777777" w:rsidR="00271448" w:rsidRPr="00271448" w:rsidRDefault="00271448" w:rsidP="00831A6E">
      <w:pPr>
        <w:jc w:val="both"/>
        <w:rPr>
          <w:sz w:val="10"/>
          <w:szCs w:val="10"/>
        </w:rPr>
      </w:pPr>
    </w:p>
    <w:p w14:paraId="1707C087" w14:textId="77777777" w:rsidR="00D905F1" w:rsidRPr="009E1ED2" w:rsidRDefault="00101E05" w:rsidP="00831A6E">
      <w:pPr>
        <w:tabs>
          <w:tab w:val="right" w:pos="1008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Global Transaction Services </w:t>
      </w:r>
      <w:r w:rsidR="00D905F1" w:rsidRPr="009E1ED2">
        <w:rPr>
          <w:sz w:val="20"/>
          <w:szCs w:val="20"/>
        </w:rPr>
        <w:t>Business Management</w:t>
      </w:r>
      <w:r w:rsidR="00271448" w:rsidRPr="009E1ED2">
        <w:rPr>
          <w:sz w:val="20"/>
          <w:szCs w:val="20"/>
        </w:rPr>
        <w:tab/>
        <w:t>April 2014 – March 2015</w:t>
      </w:r>
    </w:p>
    <w:p w14:paraId="12BA57F6" w14:textId="633632CF" w:rsidR="00850244" w:rsidRPr="00850244" w:rsidRDefault="00850244" w:rsidP="00850244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Implemented the strategic agenda of GTS through</w:t>
      </w:r>
      <w:r>
        <w:rPr>
          <w:sz w:val="20"/>
          <w:szCs w:val="20"/>
        </w:rPr>
        <w:t xml:space="preserve"> support </w:t>
      </w:r>
      <w:r>
        <w:rPr>
          <w:sz w:val="20"/>
          <w:szCs w:val="20"/>
        </w:rPr>
        <w:t xml:space="preserve">of business development and </w:t>
      </w:r>
      <w:r>
        <w:rPr>
          <w:sz w:val="20"/>
          <w:szCs w:val="20"/>
        </w:rPr>
        <w:t xml:space="preserve">sales </w:t>
      </w:r>
      <w:r>
        <w:rPr>
          <w:sz w:val="20"/>
          <w:szCs w:val="20"/>
        </w:rPr>
        <w:t xml:space="preserve">management efforts. </w:t>
      </w:r>
    </w:p>
    <w:p w14:paraId="19D3D1A6" w14:textId="74E51097" w:rsidR="00C44B22" w:rsidRPr="003578D1" w:rsidRDefault="00C44B22" w:rsidP="00C44B22">
      <w:pPr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Collaborated with </w:t>
      </w:r>
      <w:r w:rsidRPr="003578D1">
        <w:rPr>
          <w:sz w:val="20"/>
          <w:szCs w:val="20"/>
        </w:rPr>
        <w:t>risk managers to design an</w:t>
      </w:r>
      <w:r>
        <w:rPr>
          <w:sz w:val="20"/>
          <w:szCs w:val="20"/>
        </w:rPr>
        <w:t>d deliver risk measures for supply chain and trade finance transactions.</w:t>
      </w:r>
    </w:p>
    <w:p w14:paraId="40465AC7" w14:textId="77777777" w:rsidR="00583608" w:rsidRDefault="003578D1" w:rsidP="00831A6E">
      <w:pPr>
        <w:numPr>
          <w:ilvl w:val="0"/>
          <w:numId w:val="19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Identified</w:t>
      </w:r>
      <w:r w:rsidR="007A16FE">
        <w:rPr>
          <w:sz w:val="20"/>
          <w:szCs w:val="20"/>
        </w:rPr>
        <w:t xml:space="preserve"> and </w:t>
      </w:r>
      <w:r w:rsidR="00C456E1">
        <w:rPr>
          <w:sz w:val="20"/>
          <w:szCs w:val="20"/>
        </w:rPr>
        <w:t>execute</w:t>
      </w:r>
      <w:r>
        <w:rPr>
          <w:sz w:val="20"/>
          <w:szCs w:val="20"/>
        </w:rPr>
        <w:t>d</w:t>
      </w:r>
      <w:r w:rsidR="00C456E1">
        <w:rPr>
          <w:sz w:val="20"/>
          <w:szCs w:val="20"/>
        </w:rPr>
        <w:t xml:space="preserve"> initiatives to consume capital more efficiently</w:t>
      </w:r>
      <w:r w:rsidR="00583608">
        <w:rPr>
          <w:sz w:val="20"/>
          <w:szCs w:val="20"/>
        </w:rPr>
        <w:t xml:space="preserve">, including </w:t>
      </w:r>
      <w:r w:rsidR="005B7937">
        <w:rPr>
          <w:sz w:val="20"/>
          <w:szCs w:val="20"/>
        </w:rPr>
        <w:t xml:space="preserve">implementing </w:t>
      </w:r>
      <w:r w:rsidR="00547BD8">
        <w:rPr>
          <w:sz w:val="20"/>
          <w:szCs w:val="20"/>
        </w:rPr>
        <w:t>return</w:t>
      </w:r>
      <w:r w:rsidR="00583608">
        <w:rPr>
          <w:sz w:val="20"/>
          <w:szCs w:val="20"/>
        </w:rPr>
        <w:t xml:space="preserve"> and credit enhancement strategies</w:t>
      </w:r>
      <w:r w:rsidR="00547BD8">
        <w:rPr>
          <w:sz w:val="20"/>
          <w:szCs w:val="20"/>
        </w:rPr>
        <w:t xml:space="preserve"> on a </w:t>
      </w:r>
      <w:r>
        <w:rPr>
          <w:sz w:val="20"/>
          <w:szCs w:val="20"/>
        </w:rPr>
        <w:t>transactional level</w:t>
      </w:r>
      <w:r w:rsidR="00C456E1">
        <w:rPr>
          <w:sz w:val="20"/>
          <w:szCs w:val="20"/>
        </w:rPr>
        <w:t xml:space="preserve">. </w:t>
      </w:r>
    </w:p>
    <w:p w14:paraId="661568B2" w14:textId="77777777" w:rsidR="003E6733" w:rsidRPr="003E6733" w:rsidRDefault="003E6733" w:rsidP="00831A6E">
      <w:pPr>
        <w:ind w:left="1080"/>
        <w:jc w:val="both"/>
        <w:rPr>
          <w:b/>
          <w:sz w:val="10"/>
          <w:szCs w:val="10"/>
        </w:rPr>
      </w:pPr>
    </w:p>
    <w:p w14:paraId="5E5E5DC9" w14:textId="177244F1" w:rsidR="00D905F1" w:rsidRPr="009E1ED2" w:rsidRDefault="007A316A" w:rsidP="00831A6E">
      <w:pPr>
        <w:tabs>
          <w:tab w:val="right" w:pos="10080"/>
        </w:tabs>
        <w:jc w:val="both"/>
        <w:rPr>
          <w:sz w:val="20"/>
          <w:szCs w:val="20"/>
        </w:rPr>
      </w:pPr>
      <w:r w:rsidRPr="009E1ED2">
        <w:rPr>
          <w:sz w:val="20"/>
          <w:szCs w:val="20"/>
        </w:rPr>
        <w:t xml:space="preserve">Financial Institutions </w:t>
      </w:r>
      <w:r w:rsidR="003C2735" w:rsidRPr="009E1ED2">
        <w:rPr>
          <w:sz w:val="20"/>
          <w:szCs w:val="20"/>
        </w:rPr>
        <w:t>Origination</w:t>
      </w:r>
      <w:r w:rsidR="00D905F1" w:rsidRPr="009E1ED2">
        <w:rPr>
          <w:sz w:val="20"/>
          <w:szCs w:val="20"/>
        </w:rPr>
        <w:tab/>
        <w:t>July 2013 – April 2014</w:t>
      </w:r>
    </w:p>
    <w:p w14:paraId="6540E227" w14:textId="77777777" w:rsidR="007A316A" w:rsidRDefault="00BD1991" w:rsidP="00831A6E">
      <w:pPr>
        <w:numPr>
          <w:ilvl w:val="0"/>
          <w:numId w:val="19"/>
        </w:numPr>
        <w:tabs>
          <w:tab w:val="left" w:pos="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Analyzed</w:t>
      </w:r>
      <w:r w:rsidR="0098049D">
        <w:rPr>
          <w:sz w:val="20"/>
          <w:szCs w:val="20"/>
        </w:rPr>
        <w:t xml:space="preserve"> cl</w:t>
      </w:r>
      <w:r w:rsidR="0013645C">
        <w:rPr>
          <w:sz w:val="20"/>
          <w:szCs w:val="20"/>
        </w:rPr>
        <w:t>ient accounts, reports, and accounting statements of</w:t>
      </w:r>
      <w:r>
        <w:rPr>
          <w:sz w:val="20"/>
          <w:szCs w:val="20"/>
        </w:rPr>
        <w:t xml:space="preserve"> </w:t>
      </w:r>
      <w:r w:rsidR="009C4C05">
        <w:rPr>
          <w:sz w:val="20"/>
          <w:szCs w:val="20"/>
        </w:rPr>
        <w:t>bank, broker-dealer, insurance, asset manager, and other financial institution</w:t>
      </w:r>
      <w:r w:rsidR="00A87981">
        <w:rPr>
          <w:sz w:val="20"/>
          <w:szCs w:val="20"/>
        </w:rPr>
        <w:t xml:space="preserve"> </w:t>
      </w:r>
      <w:r>
        <w:rPr>
          <w:sz w:val="20"/>
          <w:szCs w:val="20"/>
        </w:rPr>
        <w:t>clients and prospects</w:t>
      </w:r>
      <w:r w:rsidR="00C50F01">
        <w:rPr>
          <w:sz w:val="20"/>
          <w:szCs w:val="20"/>
        </w:rPr>
        <w:t xml:space="preserve"> for international cash management and global trade finance opportunities</w:t>
      </w:r>
      <w:r w:rsidR="007A316A">
        <w:rPr>
          <w:sz w:val="20"/>
          <w:szCs w:val="20"/>
        </w:rPr>
        <w:t>.</w:t>
      </w:r>
    </w:p>
    <w:p w14:paraId="0530CEDC" w14:textId="77777777" w:rsidR="000E4F04" w:rsidRPr="00613683" w:rsidRDefault="000E4F04" w:rsidP="00831A6E">
      <w:pPr>
        <w:tabs>
          <w:tab w:val="right" w:pos="10080"/>
        </w:tabs>
        <w:jc w:val="both"/>
        <w:rPr>
          <w:sz w:val="10"/>
          <w:szCs w:val="10"/>
        </w:rPr>
      </w:pPr>
    </w:p>
    <w:p w14:paraId="3C7C757C" w14:textId="77777777" w:rsidR="003D1C8B" w:rsidRPr="00816EC9" w:rsidRDefault="003D1C8B" w:rsidP="00831A6E">
      <w:pPr>
        <w:tabs>
          <w:tab w:val="right" w:pos="10080"/>
        </w:tabs>
        <w:jc w:val="both"/>
        <w:rPr>
          <w:sz w:val="20"/>
          <w:szCs w:val="20"/>
        </w:rPr>
      </w:pPr>
      <w:r w:rsidRPr="00816EC9">
        <w:rPr>
          <w:b/>
          <w:sz w:val="20"/>
          <w:szCs w:val="20"/>
        </w:rPr>
        <w:t>Summer</w:t>
      </w:r>
      <w:r w:rsidR="003C2735">
        <w:rPr>
          <w:b/>
          <w:sz w:val="20"/>
          <w:szCs w:val="20"/>
        </w:rPr>
        <w:t xml:space="preserve"> </w:t>
      </w:r>
      <w:r w:rsidR="008522F2">
        <w:rPr>
          <w:b/>
          <w:sz w:val="20"/>
          <w:szCs w:val="20"/>
        </w:rPr>
        <w:t xml:space="preserve">M&amp;A </w:t>
      </w:r>
      <w:r w:rsidRPr="00816EC9">
        <w:rPr>
          <w:b/>
          <w:sz w:val="20"/>
          <w:szCs w:val="20"/>
        </w:rPr>
        <w:t>Analyst, Investment Banking Division</w:t>
      </w:r>
      <w:r w:rsidR="001D5989">
        <w:rPr>
          <w:sz w:val="20"/>
          <w:szCs w:val="20"/>
        </w:rPr>
        <w:tab/>
        <w:t>May – July</w:t>
      </w:r>
      <w:r w:rsidRPr="00816EC9">
        <w:rPr>
          <w:sz w:val="20"/>
          <w:szCs w:val="20"/>
        </w:rPr>
        <w:t xml:space="preserve"> 2011</w:t>
      </w:r>
    </w:p>
    <w:p w14:paraId="0DB3EC4B" w14:textId="77777777" w:rsidR="003D1C8B" w:rsidRDefault="003D1C8B" w:rsidP="00831A6E">
      <w:pPr>
        <w:tabs>
          <w:tab w:val="right" w:pos="10080"/>
        </w:tabs>
        <w:jc w:val="both"/>
        <w:rPr>
          <w:sz w:val="20"/>
          <w:szCs w:val="20"/>
        </w:rPr>
      </w:pPr>
      <w:r w:rsidRPr="00816EC9">
        <w:rPr>
          <w:i/>
          <w:sz w:val="20"/>
          <w:szCs w:val="20"/>
        </w:rPr>
        <w:t>China Renaissance Partners</w:t>
      </w:r>
      <w:r w:rsidRPr="00816EC9">
        <w:rPr>
          <w:sz w:val="20"/>
          <w:szCs w:val="20"/>
        </w:rPr>
        <w:t>, Beijing, China</w:t>
      </w:r>
    </w:p>
    <w:p w14:paraId="4A7CAF58" w14:textId="77777777" w:rsidR="00070220" w:rsidRPr="00070220" w:rsidRDefault="00070220" w:rsidP="00831A6E">
      <w:pPr>
        <w:tabs>
          <w:tab w:val="right" w:pos="10080"/>
        </w:tabs>
        <w:jc w:val="both"/>
        <w:rPr>
          <w:sz w:val="10"/>
          <w:szCs w:val="10"/>
        </w:rPr>
      </w:pPr>
    </w:p>
    <w:p w14:paraId="2C5FA25B" w14:textId="77777777" w:rsidR="00DB0FF2" w:rsidRPr="00816EC9" w:rsidRDefault="00AB5546" w:rsidP="00831A6E">
      <w:pPr>
        <w:numPr>
          <w:ilvl w:val="0"/>
          <w:numId w:val="8"/>
        </w:numPr>
        <w:tabs>
          <w:tab w:val="left" w:pos="360"/>
        </w:tabs>
        <w:jc w:val="both"/>
        <w:rPr>
          <w:sz w:val="20"/>
          <w:szCs w:val="20"/>
        </w:rPr>
      </w:pPr>
      <w:r w:rsidRPr="00816EC9">
        <w:rPr>
          <w:sz w:val="20"/>
          <w:szCs w:val="20"/>
        </w:rPr>
        <w:t xml:space="preserve">Conducted </w:t>
      </w:r>
      <w:r w:rsidR="00CA327A" w:rsidRPr="00816EC9">
        <w:rPr>
          <w:sz w:val="20"/>
          <w:szCs w:val="20"/>
        </w:rPr>
        <w:t xml:space="preserve">strategic fit and economic analyses, including </w:t>
      </w:r>
      <w:r w:rsidRPr="00816EC9">
        <w:rPr>
          <w:sz w:val="20"/>
          <w:szCs w:val="20"/>
        </w:rPr>
        <w:t xml:space="preserve">DCF and </w:t>
      </w:r>
      <w:proofErr w:type="spellStart"/>
      <w:r w:rsidRPr="00816EC9">
        <w:rPr>
          <w:sz w:val="20"/>
          <w:szCs w:val="20"/>
        </w:rPr>
        <w:t>comparables</w:t>
      </w:r>
      <w:proofErr w:type="spellEnd"/>
      <w:r w:rsidR="00F17C45" w:rsidRPr="00816EC9">
        <w:rPr>
          <w:sz w:val="20"/>
          <w:szCs w:val="20"/>
        </w:rPr>
        <w:t>,</w:t>
      </w:r>
      <w:r w:rsidRPr="00816EC9">
        <w:rPr>
          <w:sz w:val="20"/>
          <w:szCs w:val="20"/>
        </w:rPr>
        <w:t xml:space="preserve"> </w:t>
      </w:r>
      <w:r w:rsidR="00CA327A" w:rsidRPr="00816EC9">
        <w:rPr>
          <w:sz w:val="20"/>
          <w:szCs w:val="20"/>
        </w:rPr>
        <w:t>on $1</w:t>
      </w:r>
      <w:r w:rsidR="00C56B89">
        <w:rPr>
          <w:sz w:val="20"/>
          <w:szCs w:val="20"/>
        </w:rPr>
        <w:t>B</w:t>
      </w:r>
      <w:r w:rsidR="00772DC7" w:rsidRPr="00816EC9">
        <w:rPr>
          <w:sz w:val="20"/>
          <w:szCs w:val="20"/>
        </w:rPr>
        <w:t xml:space="preserve"> </w:t>
      </w:r>
      <w:r w:rsidR="00273F88" w:rsidRPr="00816EC9">
        <w:rPr>
          <w:sz w:val="20"/>
          <w:szCs w:val="20"/>
        </w:rPr>
        <w:t xml:space="preserve">mobile software </w:t>
      </w:r>
      <w:r w:rsidR="00772DC7" w:rsidRPr="00816EC9">
        <w:rPr>
          <w:sz w:val="20"/>
          <w:szCs w:val="20"/>
        </w:rPr>
        <w:t>target</w:t>
      </w:r>
      <w:r w:rsidR="00CA327A" w:rsidRPr="00816EC9">
        <w:rPr>
          <w:sz w:val="20"/>
          <w:szCs w:val="20"/>
        </w:rPr>
        <w:t>.</w:t>
      </w:r>
    </w:p>
    <w:p w14:paraId="6BE4394C" w14:textId="77777777" w:rsidR="003D57AE" w:rsidRPr="00816EC9" w:rsidRDefault="003D57AE" w:rsidP="00831A6E">
      <w:pPr>
        <w:numPr>
          <w:ilvl w:val="0"/>
          <w:numId w:val="8"/>
        </w:numPr>
        <w:tabs>
          <w:tab w:val="left" w:pos="360"/>
        </w:tabs>
        <w:jc w:val="both"/>
        <w:rPr>
          <w:sz w:val="20"/>
          <w:szCs w:val="20"/>
        </w:rPr>
      </w:pPr>
      <w:r w:rsidRPr="00816EC9">
        <w:rPr>
          <w:sz w:val="20"/>
          <w:szCs w:val="20"/>
        </w:rPr>
        <w:t>Researched over 100 acquisition targets in technology</w:t>
      </w:r>
      <w:r w:rsidR="002A4F57" w:rsidRPr="00816EC9">
        <w:rPr>
          <w:sz w:val="20"/>
          <w:szCs w:val="20"/>
        </w:rPr>
        <w:t xml:space="preserve"> sector</w:t>
      </w:r>
      <w:r w:rsidR="00BD3EA2" w:rsidRPr="00816EC9">
        <w:rPr>
          <w:sz w:val="20"/>
          <w:szCs w:val="20"/>
        </w:rPr>
        <w:t xml:space="preserve"> and m</w:t>
      </w:r>
      <w:r w:rsidRPr="00816EC9">
        <w:rPr>
          <w:sz w:val="20"/>
          <w:szCs w:val="20"/>
        </w:rPr>
        <w:t>ade evaluations based on financial criteria.</w:t>
      </w:r>
    </w:p>
    <w:p w14:paraId="15F520C8" w14:textId="77777777" w:rsidR="0007481A" w:rsidRDefault="0007481A" w:rsidP="009C4626">
      <w:pPr>
        <w:rPr>
          <w:sz w:val="10"/>
          <w:szCs w:val="10"/>
        </w:rPr>
      </w:pPr>
    </w:p>
    <w:p w14:paraId="1B897999" w14:textId="77777777" w:rsidR="005D3CE5" w:rsidRPr="00816EC9" w:rsidRDefault="005D3CE5" w:rsidP="005D3CE5">
      <w:pPr>
        <w:pBdr>
          <w:bottom w:val="single" w:sz="6" w:space="1" w:color="auto"/>
        </w:pBdr>
        <w:rPr>
          <w:b/>
          <w:sz w:val="20"/>
          <w:szCs w:val="20"/>
        </w:rPr>
      </w:pPr>
      <w:r w:rsidRPr="00816EC9">
        <w:rPr>
          <w:b/>
          <w:sz w:val="20"/>
          <w:szCs w:val="20"/>
        </w:rPr>
        <w:t>EDUCATION</w:t>
      </w:r>
      <w:r>
        <w:rPr>
          <w:b/>
          <w:sz w:val="20"/>
          <w:szCs w:val="20"/>
        </w:rPr>
        <w:t xml:space="preserve"> </w:t>
      </w:r>
    </w:p>
    <w:p w14:paraId="5EA8D5F4" w14:textId="0BFF4E6C" w:rsidR="005D3CE5" w:rsidRDefault="005D3CE5" w:rsidP="005D3CE5">
      <w:pPr>
        <w:tabs>
          <w:tab w:val="right" w:pos="100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CFA </w:t>
      </w:r>
      <w:proofErr w:type="spellStart"/>
      <w:r>
        <w:rPr>
          <w:b/>
          <w:sz w:val="20"/>
          <w:szCs w:val="20"/>
        </w:rPr>
        <w:t>Charterholder</w:t>
      </w:r>
      <w:proofErr w:type="spellEnd"/>
    </w:p>
    <w:p w14:paraId="0E24DC1E" w14:textId="77777777" w:rsidR="005D3CE5" w:rsidRPr="005D3CE5" w:rsidRDefault="005D3CE5" w:rsidP="005D3CE5">
      <w:pPr>
        <w:tabs>
          <w:tab w:val="right" w:pos="10080"/>
        </w:tabs>
        <w:rPr>
          <w:b/>
          <w:sz w:val="10"/>
          <w:szCs w:val="10"/>
        </w:rPr>
      </w:pPr>
    </w:p>
    <w:p w14:paraId="040A977C" w14:textId="77777777" w:rsidR="005D3CE5" w:rsidRPr="00816EC9" w:rsidRDefault="005D3CE5" w:rsidP="005D3CE5">
      <w:pPr>
        <w:tabs>
          <w:tab w:val="right" w:pos="10080"/>
        </w:tabs>
        <w:rPr>
          <w:sz w:val="20"/>
          <w:szCs w:val="20"/>
        </w:rPr>
      </w:pPr>
      <w:r w:rsidRPr="00816EC9">
        <w:rPr>
          <w:b/>
          <w:sz w:val="20"/>
          <w:szCs w:val="20"/>
        </w:rPr>
        <w:t>The Wharton School, University of Pennsylvania</w:t>
      </w:r>
      <w:r w:rsidRPr="00816EC9">
        <w:rPr>
          <w:sz w:val="20"/>
          <w:szCs w:val="20"/>
        </w:rPr>
        <w:t>, Philadelphia, PA</w:t>
      </w:r>
      <w:r w:rsidRPr="00816EC9">
        <w:rPr>
          <w:sz w:val="20"/>
          <w:szCs w:val="20"/>
        </w:rPr>
        <w:tab/>
        <w:t>May 2013</w:t>
      </w:r>
    </w:p>
    <w:p w14:paraId="42584D93" w14:textId="5F1F21AE" w:rsidR="005D3CE5" w:rsidRPr="00816EC9" w:rsidRDefault="005D3CE5" w:rsidP="005D3CE5">
      <w:pPr>
        <w:rPr>
          <w:sz w:val="20"/>
          <w:szCs w:val="20"/>
        </w:rPr>
      </w:pPr>
      <w:r>
        <w:rPr>
          <w:i/>
          <w:sz w:val="20"/>
          <w:szCs w:val="20"/>
        </w:rPr>
        <w:t>B.S.</w:t>
      </w:r>
      <w:r w:rsidRPr="00816EC9">
        <w:rPr>
          <w:i/>
          <w:sz w:val="20"/>
          <w:szCs w:val="20"/>
        </w:rPr>
        <w:t xml:space="preserve"> in Economics</w:t>
      </w:r>
      <w:r>
        <w:rPr>
          <w:sz w:val="20"/>
          <w:szCs w:val="20"/>
        </w:rPr>
        <w:t xml:space="preserve"> </w:t>
      </w:r>
      <w:r w:rsidRPr="00911CFB">
        <w:rPr>
          <w:sz w:val="20"/>
          <w:szCs w:val="20"/>
        </w:rPr>
        <w:t xml:space="preserve">(Concentration: </w:t>
      </w:r>
      <w:proofErr w:type="gramStart"/>
      <w:r w:rsidRPr="00911CFB">
        <w:rPr>
          <w:sz w:val="20"/>
          <w:szCs w:val="20"/>
        </w:rPr>
        <w:t>Finance)</w:t>
      </w:r>
      <w:r w:rsidR="00842715">
        <w:rPr>
          <w:sz w:val="20"/>
          <w:szCs w:val="20"/>
        </w:rPr>
        <w:t xml:space="preserve">   </w:t>
      </w:r>
      <w:proofErr w:type="gramEnd"/>
      <w:r w:rsidR="00842715">
        <w:rPr>
          <w:sz w:val="20"/>
          <w:szCs w:val="20"/>
        </w:rPr>
        <w:t xml:space="preserve">       </w:t>
      </w:r>
      <w:r w:rsidR="00175FCA"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Honors: </w:t>
      </w:r>
      <w:r>
        <w:rPr>
          <w:sz w:val="20"/>
          <w:szCs w:val="20"/>
        </w:rPr>
        <w:t>Magna Cum Laude, Dean’s List</w:t>
      </w:r>
    </w:p>
    <w:p w14:paraId="23627512" w14:textId="77777777" w:rsidR="005D3CE5" w:rsidRPr="00816EC9" w:rsidRDefault="005D3CE5" w:rsidP="009C4626">
      <w:pPr>
        <w:rPr>
          <w:sz w:val="10"/>
          <w:szCs w:val="10"/>
        </w:rPr>
      </w:pPr>
    </w:p>
    <w:p w14:paraId="4D3932B9" w14:textId="77777777" w:rsidR="00510D74" w:rsidRDefault="004A4953" w:rsidP="00510D74">
      <w:pPr>
        <w:pBdr>
          <w:bottom w:val="single" w:sz="6" w:space="1" w:color="auto"/>
        </w:pBdr>
        <w:rPr>
          <w:b/>
          <w:sz w:val="20"/>
          <w:szCs w:val="20"/>
        </w:rPr>
      </w:pPr>
      <w:r w:rsidRPr="00816EC9">
        <w:rPr>
          <w:b/>
          <w:sz w:val="20"/>
          <w:szCs w:val="20"/>
        </w:rPr>
        <w:t>SKILLS &amp; INTERESTS</w:t>
      </w:r>
    </w:p>
    <w:p w14:paraId="36DCB049" w14:textId="77777777" w:rsidR="00850244" w:rsidRDefault="00BD139D" w:rsidP="004A495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Technical Skills: </w:t>
      </w:r>
      <w:r w:rsidR="005D3CE5">
        <w:rPr>
          <w:sz w:val="20"/>
          <w:szCs w:val="20"/>
        </w:rPr>
        <w:t>Tableau; Alteryx</w:t>
      </w:r>
      <w:r w:rsidR="005D3CE5">
        <w:rPr>
          <w:sz w:val="20"/>
          <w:szCs w:val="20"/>
        </w:rPr>
        <w:tab/>
        <w:t xml:space="preserve">         </w:t>
      </w:r>
    </w:p>
    <w:p w14:paraId="288FE59C" w14:textId="21A5D205" w:rsidR="00585C89" w:rsidRPr="007A16FE" w:rsidRDefault="00C174BF" w:rsidP="004A4953">
      <w:pPr>
        <w:rPr>
          <w:b/>
          <w:sz w:val="20"/>
          <w:szCs w:val="20"/>
        </w:rPr>
      </w:pPr>
      <w:r w:rsidRPr="002422CD">
        <w:rPr>
          <w:b/>
          <w:sz w:val="20"/>
          <w:szCs w:val="20"/>
        </w:rPr>
        <w:t>In</w:t>
      </w:r>
      <w:r w:rsidRPr="00816EC9">
        <w:rPr>
          <w:b/>
          <w:sz w:val="20"/>
          <w:szCs w:val="20"/>
        </w:rPr>
        <w:t>terests</w:t>
      </w:r>
      <w:r w:rsidR="004A4953" w:rsidRPr="00816EC9">
        <w:rPr>
          <w:b/>
          <w:sz w:val="20"/>
          <w:szCs w:val="20"/>
        </w:rPr>
        <w:t>:</w:t>
      </w:r>
      <w:r w:rsidR="004A4953" w:rsidRPr="00816EC9">
        <w:rPr>
          <w:sz w:val="20"/>
          <w:szCs w:val="20"/>
        </w:rPr>
        <w:t xml:space="preserve"> </w:t>
      </w:r>
      <w:r w:rsidR="00850244">
        <w:rPr>
          <w:sz w:val="20"/>
          <w:szCs w:val="20"/>
        </w:rPr>
        <w:t xml:space="preserve">Penn Alumni Volunteer Interviewer, </w:t>
      </w:r>
      <w:bookmarkStart w:id="0" w:name="_GoBack"/>
      <w:bookmarkEnd w:id="0"/>
      <w:r w:rsidR="00D31846">
        <w:rPr>
          <w:sz w:val="20"/>
          <w:szCs w:val="20"/>
        </w:rPr>
        <w:t>Doubles Tennis, Running</w:t>
      </w:r>
      <w:r w:rsidR="00AE0573">
        <w:rPr>
          <w:sz w:val="20"/>
          <w:szCs w:val="20"/>
        </w:rPr>
        <w:t>/Fitness</w:t>
      </w:r>
      <w:r w:rsidR="00D31846">
        <w:rPr>
          <w:sz w:val="20"/>
          <w:szCs w:val="20"/>
        </w:rPr>
        <w:t xml:space="preserve">, </w:t>
      </w:r>
      <w:r w:rsidR="00884682">
        <w:rPr>
          <w:sz w:val="20"/>
          <w:szCs w:val="20"/>
        </w:rPr>
        <w:t xml:space="preserve">American History, </w:t>
      </w:r>
      <w:r w:rsidR="00D31846">
        <w:rPr>
          <w:sz w:val="20"/>
          <w:szCs w:val="20"/>
        </w:rPr>
        <w:t>Green Bay Packers</w:t>
      </w:r>
    </w:p>
    <w:sectPr w:rsidR="00585C89" w:rsidRPr="007A16FE" w:rsidSect="00884682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B80A" w14:textId="77777777" w:rsidR="00EB09CE" w:rsidRDefault="00EB09CE">
      <w:r>
        <w:separator/>
      </w:r>
    </w:p>
  </w:endnote>
  <w:endnote w:type="continuationSeparator" w:id="0">
    <w:p w14:paraId="12AF71E4" w14:textId="77777777" w:rsidR="00EB09CE" w:rsidRDefault="00EB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52091" w14:textId="77777777" w:rsidR="00EB09CE" w:rsidRDefault="00EB09CE">
      <w:r>
        <w:separator/>
      </w:r>
    </w:p>
  </w:footnote>
  <w:footnote w:type="continuationSeparator" w:id="0">
    <w:p w14:paraId="49BEC417" w14:textId="77777777" w:rsidR="00EB09CE" w:rsidRDefault="00EB0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1615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34A64"/>
    <w:multiLevelType w:val="hybridMultilevel"/>
    <w:tmpl w:val="327C2CF0"/>
    <w:lvl w:ilvl="0" w:tplc="2C8A2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395F"/>
    <w:multiLevelType w:val="hybridMultilevel"/>
    <w:tmpl w:val="70EC9084"/>
    <w:lvl w:ilvl="0" w:tplc="2C8A2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27437"/>
    <w:multiLevelType w:val="hybridMultilevel"/>
    <w:tmpl w:val="B97A2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F7491"/>
    <w:multiLevelType w:val="hybridMultilevel"/>
    <w:tmpl w:val="47E0E0D8"/>
    <w:lvl w:ilvl="0" w:tplc="C21A0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6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714F"/>
    <w:multiLevelType w:val="hybridMultilevel"/>
    <w:tmpl w:val="6FEAD4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2751C0"/>
    <w:multiLevelType w:val="hybridMultilevel"/>
    <w:tmpl w:val="0A4670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14468"/>
    <w:multiLevelType w:val="hybridMultilevel"/>
    <w:tmpl w:val="0218B7DE"/>
    <w:lvl w:ilvl="0" w:tplc="2C8A23C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186858"/>
    <w:multiLevelType w:val="hybridMultilevel"/>
    <w:tmpl w:val="96026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6533D"/>
    <w:multiLevelType w:val="hybridMultilevel"/>
    <w:tmpl w:val="18BAF1DC"/>
    <w:lvl w:ilvl="0" w:tplc="2C8A2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C210B"/>
    <w:multiLevelType w:val="hybridMultilevel"/>
    <w:tmpl w:val="CB480BF0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6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E5F75"/>
    <w:multiLevelType w:val="multilevel"/>
    <w:tmpl w:val="D9508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6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327D5"/>
    <w:multiLevelType w:val="multilevel"/>
    <w:tmpl w:val="12C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6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824C3"/>
    <w:multiLevelType w:val="hybridMultilevel"/>
    <w:tmpl w:val="1430CF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E7B0A"/>
    <w:multiLevelType w:val="hybridMultilevel"/>
    <w:tmpl w:val="011014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6531EC"/>
    <w:multiLevelType w:val="hybridMultilevel"/>
    <w:tmpl w:val="AFF01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0649F8"/>
    <w:multiLevelType w:val="hybridMultilevel"/>
    <w:tmpl w:val="D9508450"/>
    <w:lvl w:ilvl="0" w:tplc="4680EB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6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66947"/>
    <w:multiLevelType w:val="hybridMultilevel"/>
    <w:tmpl w:val="0E984200"/>
    <w:lvl w:ilvl="0" w:tplc="2C8A23C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F5730B"/>
    <w:multiLevelType w:val="hybridMultilevel"/>
    <w:tmpl w:val="55A2A072"/>
    <w:lvl w:ilvl="0" w:tplc="2C8A23C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40489"/>
    <w:multiLevelType w:val="hybridMultilevel"/>
    <w:tmpl w:val="6CF67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F07F6"/>
    <w:multiLevelType w:val="hybridMultilevel"/>
    <w:tmpl w:val="12C6B1B0"/>
    <w:lvl w:ilvl="0" w:tplc="C21A0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6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33B90"/>
    <w:multiLevelType w:val="multilevel"/>
    <w:tmpl w:val="CB480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6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647D6"/>
    <w:multiLevelType w:val="hybridMultilevel"/>
    <w:tmpl w:val="63669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22996"/>
    <w:multiLevelType w:val="hybridMultilevel"/>
    <w:tmpl w:val="130E63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445B9F"/>
    <w:multiLevelType w:val="hybridMultilevel"/>
    <w:tmpl w:val="4BD46A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3B6FFD"/>
    <w:multiLevelType w:val="hybridMultilevel"/>
    <w:tmpl w:val="F968B51C"/>
    <w:lvl w:ilvl="0" w:tplc="2C8A2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11A"/>
    <w:multiLevelType w:val="hybridMultilevel"/>
    <w:tmpl w:val="D4963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146AC"/>
    <w:multiLevelType w:val="hybridMultilevel"/>
    <w:tmpl w:val="ED14D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10"/>
  </w:num>
  <w:num w:numId="5">
    <w:abstractNumId w:val="21"/>
  </w:num>
  <w:num w:numId="6">
    <w:abstractNumId w:val="16"/>
  </w:num>
  <w:num w:numId="7">
    <w:abstractNumId w:val="11"/>
  </w:num>
  <w:num w:numId="8">
    <w:abstractNumId w:val="18"/>
  </w:num>
  <w:num w:numId="9">
    <w:abstractNumId w:val="2"/>
  </w:num>
  <w:num w:numId="10">
    <w:abstractNumId w:val="22"/>
  </w:num>
  <w:num w:numId="11">
    <w:abstractNumId w:val="7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27"/>
  </w:num>
  <w:num w:numId="17">
    <w:abstractNumId w:val="1"/>
  </w:num>
  <w:num w:numId="18">
    <w:abstractNumId w:val="19"/>
  </w:num>
  <w:num w:numId="19">
    <w:abstractNumId w:val="18"/>
  </w:num>
  <w:num w:numId="20">
    <w:abstractNumId w:val="0"/>
  </w:num>
  <w:num w:numId="21">
    <w:abstractNumId w:val="13"/>
  </w:num>
  <w:num w:numId="22">
    <w:abstractNumId w:val="26"/>
  </w:num>
  <w:num w:numId="23">
    <w:abstractNumId w:val="8"/>
  </w:num>
  <w:num w:numId="24">
    <w:abstractNumId w:val="15"/>
  </w:num>
  <w:num w:numId="25">
    <w:abstractNumId w:val="14"/>
  </w:num>
  <w:num w:numId="26">
    <w:abstractNumId w:val="24"/>
  </w:num>
  <w:num w:numId="27">
    <w:abstractNumId w:val="23"/>
  </w:num>
  <w:num w:numId="28">
    <w:abstractNumId w:val="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92C"/>
    <w:rsid w:val="00012B09"/>
    <w:rsid w:val="00027012"/>
    <w:rsid w:val="0003552A"/>
    <w:rsid w:val="0006196D"/>
    <w:rsid w:val="00064ACF"/>
    <w:rsid w:val="00070220"/>
    <w:rsid w:val="00073A43"/>
    <w:rsid w:val="0007481A"/>
    <w:rsid w:val="00075926"/>
    <w:rsid w:val="00081107"/>
    <w:rsid w:val="00082A6D"/>
    <w:rsid w:val="00093117"/>
    <w:rsid w:val="000A16E8"/>
    <w:rsid w:val="000C0FA9"/>
    <w:rsid w:val="000C738D"/>
    <w:rsid w:val="000D4ECB"/>
    <w:rsid w:val="000D6ADD"/>
    <w:rsid w:val="000E4F04"/>
    <w:rsid w:val="00101E05"/>
    <w:rsid w:val="001020BF"/>
    <w:rsid w:val="00116FEA"/>
    <w:rsid w:val="0012653D"/>
    <w:rsid w:val="0013645C"/>
    <w:rsid w:val="00141A26"/>
    <w:rsid w:val="00152ED5"/>
    <w:rsid w:val="00155224"/>
    <w:rsid w:val="001733D1"/>
    <w:rsid w:val="00175FCA"/>
    <w:rsid w:val="001A0206"/>
    <w:rsid w:val="001A0BDE"/>
    <w:rsid w:val="001B5BA5"/>
    <w:rsid w:val="001B7682"/>
    <w:rsid w:val="001C0DAF"/>
    <w:rsid w:val="001D5989"/>
    <w:rsid w:val="001E0489"/>
    <w:rsid w:val="00210F90"/>
    <w:rsid w:val="00233A1E"/>
    <w:rsid w:val="002422CD"/>
    <w:rsid w:val="0024239E"/>
    <w:rsid w:val="00265496"/>
    <w:rsid w:val="00265E05"/>
    <w:rsid w:val="00271169"/>
    <w:rsid w:val="00271448"/>
    <w:rsid w:val="00273921"/>
    <w:rsid w:val="00273F88"/>
    <w:rsid w:val="00283035"/>
    <w:rsid w:val="00284FD2"/>
    <w:rsid w:val="00293D19"/>
    <w:rsid w:val="0029601D"/>
    <w:rsid w:val="002A36E3"/>
    <w:rsid w:val="002A4F57"/>
    <w:rsid w:val="002A597B"/>
    <w:rsid w:val="002B19E2"/>
    <w:rsid w:val="002B5AF0"/>
    <w:rsid w:val="002C418B"/>
    <w:rsid w:val="002D6453"/>
    <w:rsid w:val="002E4335"/>
    <w:rsid w:val="002E64E3"/>
    <w:rsid w:val="002F065A"/>
    <w:rsid w:val="0030028E"/>
    <w:rsid w:val="00307EE6"/>
    <w:rsid w:val="003463DB"/>
    <w:rsid w:val="00354A12"/>
    <w:rsid w:val="003578D1"/>
    <w:rsid w:val="00360FC8"/>
    <w:rsid w:val="00372D35"/>
    <w:rsid w:val="00374EA9"/>
    <w:rsid w:val="003909F7"/>
    <w:rsid w:val="00392252"/>
    <w:rsid w:val="003A7374"/>
    <w:rsid w:val="003B5642"/>
    <w:rsid w:val="003B580E"/>
    <w:rsid w:val="003B76B1"/>
    <w:rsid w:val="003C2735"/>
    <w:rsid w:val="003C6A9D"/>
    <w:rsid w:val="003D1C8B"/>
    <w:rsid w:val="003D57AE"/>
    <w:rsid w:val="003E6733"/>
    <w:rsid w:val="003F0BA7"/>
    <w:rsid w:val="003F2D89"/>
    <w:rsid w:val="003F64D3"/>
    <w:rsid w:val="004003B9"/>
    <w:rsid w:val="0040060C"/>
    <w:rsid w:val="00412DC8"/>
    <w:rsid w:val="0042585E"/>
    <w:rsid w:val="00450FB5"/>
    <w:rsid w:val="00454D41"/>
    <w:rsid w:val="00462988"/>
    <w:rsid w:val="00475C0E"/>
    <w:rsid w:val="00475EFD"/>
    <w:rsid w:val="00481FF4"/>
    <w:rsid w:val="004929FF"/>
    <w:rsid w:val="00495F37"/>
    <w:rsid w:val="004969E8"/>
    <w:rsid w:val="004A41B2"/>
    <w:rsid w:val="004A4953"/>
    <w:rsid w:val="004C4BDA"/>
    <w:rsid w:val="004E0460"/>
    <w:rsid w:val="004F0E82"/>
    <w:rsid w:val="004F6624"/>
    <w:rsid w:val="0050240A"/>
    <w:rsid w:val="00503654"/>
    <w:rsid w:val="00510D74"/>
    <w:rsid w:val="00522FE0"/>
    <w:rsid w:val="00525FBF"/>
    <w:rsid w:val="00537A27"/>
    <w:rsid w:val="005400D0"/>
    <w:rsid w:val="00547BD8"/>
    <w:rsid w:val="005521E8"/>
    <w:rsid w:val="00556E30"/>
    <w:rsid w:val="00583608"/>
    <w:rsid w:val="00585BBD"/>
    <w:rsid w:val="00585C89"/>
    <w:rsid w:val="005A49AB"/>
    <w:rsid w:val="005A73A9"/>
    <w:rsid w:val="005B1D12"/>
    <w:rsid w:val="005B3125"/>
    <w:rsid w:val="005B5FE4"/>
    <w:rsid w:val="005B76A3"/>
    <w:rsid w:val="005B7937"/>
    <w:rsid w:val="005C6EF8"/>
    <w:rsid w:val="005D3CE5"/>
    <w:rsid w:val="005E0F8C"/>
    <w:rsid w:val="005F3B65"/>
    <w:rsid w:val="005F715E"/>
    <w:rsid w:val="00607AA6"/>
    <w:rsid w:val="0061087B"/>
    <w:rsid w:val="00613683"/>
    <w:rsid w:val="006150B5"/>
    <w:rsid w:val="0061724E"/>
    <w:rsid w:val="00617805"/>
    <w:rsid w:val="00634FC4"/>
    <w:rsid w:val="00637B04"/>
    <w:rsid w:val="006401BE"/>
    <w:rsid w:val="00641297"/>
    <w:rsid w:val="0065235B"/>
    <w:rsid w:val="00652BF8"/>
    <w:rsid w:val="0065457E"/>
    <w:rsid w:val="006722C1"/>
    <w:rsid w:val="00673525"/>
    <w:rsid w:val="00677C2E"/>
    <w:rsid w:val="00681A9C"/>
    <w:rsid w:val="006834FE"/>
    <w:rsid w:val="006A78D8"/>
    <w:rsid w:val="006C2686"/>
    <w:rsid w:val="006D365B"/>
    <w:rsid w:val="006E105B"/>
    <w:rsid w:val="006F6C28"/>
    <w:rsid w:val="006F777D"/>
    <w:rsid w:val="00701713"/>
    <w:rsid w:val="00706268"/>
    <w:rsid w:val="00723CE2"/>
    <w:rsid w:val="00734403"/>
    <w:rsid w:val="00772DC7"/>
    <w:rsid w:val="00787DC8"/>
    <w:rsid w:val="00791944"/>
    <w:rsid w:val="00792BAF"/>
    <w:rsid w:val="00794B97"/>
    <w:rsid w:val="007A16FE"/>
    <w:rsid w:val="007A316A"/>
    <w:rsid w:val="007B2B95"/>
    <w:rsid w:val="007C4D6A"/>
    <w:rsid w:val="007C5604"/>
    <w:rsid w:val="007E7A80"/>
    <w:rsid w:val="007F5561"/>
    <w:rsid w:val="00816EC9"/>
    <w:rsid w:val="00827315"/>
    <w:rsid w:val="00831A6E"/>
    <w:rsid w:val="008359DE"/>
    <w:rsid w:val="00842715"/>
    <w:rsid w:val="008459FB"/>
    <w:rsid w:val="00850244"/>
    <w:rsid w:val="00851888"/>
    <w:rsid w:val="008522F2"/>
    <w:rsid w:val="00873092"/>
    <w:rsid w:val="00875F08"/>
    <w:rsid w:val="00884682"/>
    <w:rsid w:val="008A4A5F"/>
    <w:rsid w:val="008C40BA"/>
    <w:rsid w:val="008D51BD"/>
    <w:rsid w:val="008E01E1"/>
    <w:rsid w:val="008E0E09"/>
    <w:rsid w:val="008E101A"/>
    <w:rsid w:val="008E716E"/>
    <w:rsid w:val="00911BBE"/>
    <w:rsid w:val="00911CFB"/>
    <w:rsid w:val="009212BA"/>
    <w:rsid w:val="009449BE"/>
    <w:rsid w:val="009474E4"/>
    <w:rsid w:val="00951816"/>
    <w:rsid w:val="00955A17"/>
    <w:rsid w:val="00960371"/>
    <w:rsid w:val="00960896"/>
    <w:rsid w:val="00971E4E"/>
    <w:rsid w:val="0098049D"/>
    <w:rsid w:val="00981DA7"/>
    <w:rsid w:val="00985F06"/>
    <w:rsid w:val="009A4E52"/>
    <w:rsid w:val="009A574D"/>
    <w:rsid w:val="009C3BF7"/>
    <w:rsid w:val="009C4626"/>
    <w:rsid w:val="009C4C05"/>
    <w:rsid w:val="009C6A34"/>
    <w:rsid w:val="009E169C"/>
    <w:rsid w:val="009E1ED2"/>
    <w:rsid w:val="009E5962"/>
    <w:rsid w:val="00A15653"/>
    <w:rsid w:val="00A210C1"/>
    <w:rsid w:val="00A57356"/>
    <w:rsid w:val="00A62A5E"/>
    <w:rsid w:val="00A63D90"/>
    <w:rsid w:val="00A63FB5"/>
    <w:rsid w:val="00A7750F"/>
    <w:rsid w:val="00A775A6"/>
    <w:rsid w:val="00A87981"/>
    <w:rsid w:val="00A9195D"/>
    <w:rsid w:val="00A919A2"/>
    <w:rsid w:val="00AA0BF3"/>
    <w:rsid w:val="00AA36F7"/>
    <w:rsid w:val="00AB5546"/>
    <w:rsid w:val="00AE0573"/>
    <w:rsid w:val="00AE4497"/>
    <w:rsid w:val="00AF1C0D"/>
    <w:rsid w:val="00B05F9D"/>
    <w:rsid w:val="00B22F70"/>
    <w:rsid w:val="00B44F6D"/>
    <w:rsid w:val="00B828B5"/>
    <w:rsid w:val="00B86BB0"/>
    <w:rsid w:val="00BA0F31"/>
    <w:rsid w:val="00BA4D45"/>
    <w:rsid w:val="00BB5469"/>
    <w:rsid w:val="00BD1217"/>
    <w:rsid w:val="00BD139D"/>
    <w:rsid w:val="00BD1991"/>
    <w:rsid w:val="00BD3EA2"/>
    <w:rsid w:val="00BE4897"/>
    <w:rsid w:val="00BE7C2B"/>
    <w:rsid w:val="00BF661C"/>
    <w:rsid w:val="00C06741"/>
    <w:rsid w:val="00C1024E"/>
    <w:rsid w:val="00C174BF"/>
    <w:rsid w:val="00C25A1A"/>
    <w:rsid w:val="00C31E8B"/>
    <w:rsid w:val="00C3614E"/>
    <w:rsid w:val="00C4098E"/>
    <w:rsid w:val="00C44B22"/>
    <w:rsid w:val="00C456E1"/>
    <w:rsid w:val="00C50F01"/>
    <w:rsid w:val="00C56B89"/>
    <w:rsid w:val="00C61822"/>
    <w:rsid w:val="00C62D99"/>
    <w:rsid w:val="00C642B7"/>
    <w:rsid w:val="00C65D39"/>
    <w:rsid w:val="00C66DE1"/>
    <w:rsid w:val="00C76744"/>
    <w:rsid w:val="00C9693D"/>
    <w:rsid w:val="00CA327A"/>
    <w:rsid w:val="00CC108D"/>
    <w:rsid w:val="00CD442D"/>
    <w:rsid w:val="00CE2076"/>
    <w:rsid w:val="00CE76AA"/>
    <w:rsid w:val="00CF7478"/>
    <w:rsid w:val="00D07230"/>
    <w:rsid w:val="00D1305F"/>
    <w:rsid w:val="00D13901"/>
    <w:rsid w:val="00D27ED0"/>
    <w:rsid w:val="00D31846"/>
    <w:rsid w:val="00D40E92"/>
    <w:rsid w:val="00D4279C"/>
    <w:rsid w:val="00D74AA6"/>
    <w:rsid w:val="00D905F1"/>
    <w:rsid w:val="00D95333"/>
    <w:rsid w:val="00DB0FF2"/>
    <w:rsid w:val="00DB492C"/>
    <w:rsid w:val="00DB69C9"/>
    <w:rsid w:val="00DC0932"/>
    <w:rsid w:val="00DC4DC2"/>
    <w:rsid w:val="00DD2B42"/>
    <w:rsid w:val="00E07AD9"/>
    <w:rsid w:val="00E10DCE"/>
    <w:rsid w:val="00E12D74"/>
    <w:rsid w:val="00E27A8F"/>
    <w:rsid w:val="00E45FE5"/>
    <w:rsid w:val="00E51A13"/>
    <w:rsid w:val="00E6271A"/>
    <w:rsid w:val="00E62CA8"/>
    <w:rsid w:val="00E67B4D"/>
    <w:rsid w:val="00E72582"/>
    <w:rsid w:val="00E962F2"/>
    <w:rsid w:val="00EA07CE"/>
    <w:rsid w:val="00EA4D97"/>
    <w:rsid w:val="00EB09CE"/>
    <w:rsid w:val="00EC3EF9"/>
    <w:rsid w:val="00ED7B86"/>
    <w:rsid w:val="00EF7EA2"/>
    <w:rsid w:val="00F1151D"/>
    <w:rsid w:val="00F17C45"/>
    <w:rsid w:val="00F22C98"/>
    <w:rsid w:val="00F230E2"/>
    <w:rsid w:val="00F243ED"/>
    <w:rsid w:val="00F308F7"/>
    <w:rsid w:val="00F329C0"/>
    <w:rsid w:val="00F33A06"/>
    <w:rsid w:val="00F33E82"/>
    <w:rsid w:val="00F4445B"/>
    <w:rsid w:val="00F459EF"/>
    <w:rsid w:val="00F909FA"/>
    <w:rsid w:val="00FA4335"/>
    <w:rsid w:val="00FA60A7"/>
    <w:rsid w:val="00FD42C4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549C8"/>
  <w15:docId w15:val="{C038DDB0-22CB-DB4F-93ED-12F59D31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171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0171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C0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C0932"/>
    <w:rPr>
      <w:color w:val="0000FF"/>
      <w:u w:val="single"/>
    </w:rPr>
  </w:style>
  <w:style w:type="paragraph" w:customStyle="1" w:styleId="ResumeAlignRight">
    <w:name w:val="Resume Align Right"/>
    <w:basedOn w:val="Normal"/>
    <w:rsid w:val="004A4953"/>
    <w:pPr>
      <w:tabs>
        <w:tab w:val="right" w:pos="10080"/>
      </w:tabs>
    </w:pPr>
    <w:rPr>
      <w:rFonts w:eastAsia="SimSun"/>
      <w:lang w:eastAsia="zh-CN"/>
    </w:rPr>
  </w:style>
  <w:style w:type="paragraph" w:customStyle="1" w:styleId="ColorfulList-Accent11">
    <w:name w:val="Colorful List - Accent 11"/>
    <w:basedOn w:val="Normal"/>
    <w:qFormat/>
    <w:rsid w:val="002D645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rsid w:val="00F909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09FA"/>
    <w:rPr>
      <w:sz w:val="20"/>
      <w:szCs w:val="20"/>
    </w:rPr>
  </w:style>
  <w:style w:type="character" w:customStyle="1" w:styleId="CommentTextChar">
    <w:name w:val="Comment Text Char"/>
    <w:link w:val="CommentText"/>
    <w:rsid w:val="00F909FA"/>
    <w:rPr>
      <w:lang w:eastAsia="de-CH"/>
    </w:rPr>
  </w:style>
  <w:style w:type="paragraph" w:styleId="CommentSubject">
    <w:name w:val="annotation subject"/>
    <w:basedOn w:val="CommentText"/>
    <w:next w:val="CommentText"/>
    <w:link w:val="CommentSubjectChar"/>
    <w:rsid w:val="00F909FA"/>
    <w:rPr>
      <w:b/>
      <w:bCs/>
    </w:rPr>
  </w:style>
  <w:style w:type="character" w:customStyle="1" w:styleId="CommentSubjectChar">
    <w:name w:val="Comment Subject Char"/>
    <w:link w:val="CommentSubject"/>
    <w:rsid w:val="00F909FA"/>
    <w:rPr>
      <w:b/>
      <w:bCs/>
      <w:lang w:eastAsia="de-CH"/>
    </w:rPr>
  </w:style>
  <w:style w:type="paragraph" w:styleId="BalloonText">
    <w:name w:val="Balloon Text"/>
    <w:basedOn w:val="Normal"/>
    <w:link w:val="BalloonTextChar"/>
    <w:rsid w:val="00F90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909FA"/>
    <w:rPr>
      <w:rFonts w:ascii="Tahoma" w:hAnsi="Tahoma" w:cs="Tahoma"/>
      <w:sz w:val="16"/>
      <w:szCs w:val="16"/>
      <w:lang w:eastAsia="de-CH"/>
    </w:rPr>
  </w:style>
  <w:style w:type="paragraph" w:styleId="ListParagraph">
    <w:name w:val="List Paragraph"/>
    <w:basedOn w:val="Normal"/>
    <w:uiPriority w:val="34"/>
    <w:qFormat/>
    <w:rsid w:val="005D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.tang@us.bnppariba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85B14-D017-2D42-880D-99E8E53F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Address:</vt:lpstr>
    </vt:vector>
  </TitlesOfParts>
  <Company>UBS</Company>
  <LinksUpToDate>false</LinksUpToDate>
  <CharactersWithSpaces>3768</CharactersWithSpaces>
  <SharedDoc>false</SharedDoc>
  <HLinks>
    <vt:vector size="6" baseType="variant">
      <vt:variant>
        <vt:i4>65581</vt:i4>
      </vt:variant>
      <vt:variant>
        <vt:i4>0</vt:i4>
      </vt:variant>
      <vt:variant>
        <vt:i4>0</vt:i4>
      </vt:variant>
      <vt:variant>
        <vt:i4>5</vt:i4>
      </vt:variant>
      <vt:variant>
        <vt:lpwstr>mailto:s@samtang.org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Address:</dc:title>
  <dc:subject/>
  <dc:creator>Sam Tang</dc:creator>
  <cp:keywords/>
  <cp:lastModifiedBy>Sam Tang</cp:lastModifiedBy>
  <cp:revision>4</cp:revision>
  <cp:lastPrinted>2015-03-17T03:26:00Z</cp:lastPrinted>
  <dcterms:created xsi:type="dcterms:W3CDTF">2019-05-14T08:39:00Z</dcterms:created>
  <dcterms:modified xsi:type="dcterms:W3CDTF">2019-08-02T01:57:00Z</dcterms:modified>
</cp:coreProperties>
</file>