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b/>
          <w:bCs/>
          <w:color w:val="1428A0"/>
          <w:sz w:val="22"/>
          <w:szCs w:val="22"/>
        </w:rPr>
        <w:t xml:space="preserve">SAMSUNG ELECTRONICS EGYPT</w:t>
      </w:r>
    </w:p>
    <w:p>
      <w:pPr>
        <w:spacing w:after="240"/>
        <w:jc w:val="center"/>
      </w:pPr>
      <w:r>
        <w:rPr>
          <w:color w:val="5A6472"/>
          <w:sz w:val="18"/>
          <w:szCs w:val="18"/>
        </w:rPr>
        <w:t xml:space="preserve">CUSTOMER SERVICE  ·  AI TRANSFORMATION (AX) AWARD SUBMISSION</w:t>
      </w:r>
    </w:p>
    <w:p>
      <w:pPr>
        <w:spacing w:after="80"/>
        <w:jc w:val="center"/>
      </w:pPr>
      <w:r>
        <w:rPr>
          <w:b/>
          <w:bCs/>
          <w:color w:val="0B1F3A"/>
          <w:sz w:val="76"/>
          <w:szCs w:val="76"/>
        </w:rPr>
        <w:t xml:space="preserve">SCORA</w:t>
      </w:r>
    </w:p>
    <w:p>
      <w:pPr>
        <w:spacing w:after="320"/>
        <w:jc w:val="center"/>
      </w:pPr>
      <w:r>
        <w:rPr>
          <w:b/>
          <w:bCs/>
          <w:color w:val="1428A0"/>
          <w:sz w:val="28"/>
          <w:szCs w:val="28"/>
        </w:rPr>
        <w:t xml:space="preserve">Service Competency &amp; Operational Readiness Application</w:t>
      </w:r>
    </w:p>
    <w:p>
      <w:pPr>
        <w:spacing w:after="440"/>
        <w:jc w:val="center"/>
      </w:pPr>
      <w:r>
        <w:rPr>
          <w:i/>
          <w:iCs/>
          <w:color w:val="5A6472"/>
          <w:sz w:val="22"/>
          <w:szCs w:val="22"/>
        </w:rPr>
        <w:t xml:space="preserve">Converting engineer evaluation from a closed scoring exercise into a transparent, self-service capability development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Item</w:t>
            </w:r>
          </w:p>
        </w:tc>
        <w:tc>
          <w:tcPr>
            <w:tcW w:type="dxa" w:w="676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Detail</w:t>
            </w:r>
          </w:p>
        </w:tc>
      </w:tr>
      <w:tr>
        <w:tc>
          <w:tcPr>
            <w:tcW w:type="dxa" w:w="26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Project name</w:t>
            </w:r>
          </w:p>
        </w:tc>
        <w:tc>
          <w:tcPr>
            <w:tcW w:type="dxa" w:w="67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SCORA — Service Competency &amp; Operational Readiness Application</w:t>
            </w:r>
          </w:p>
        </w:tc>
      </w:tr>
      <w:tr>
        <w:tc>
          <w:tcPr>
            <w:tcW w:type="dxa" w:w="26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Submitting entity</w:t>
            </w:r>
          </w:p>
        </w:tc>
        <w:tc>
          <w:tcPr>
            <w:tcW w:type="dxa" w:w="67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Samsung Electronics Egypt — Customer Service Division</w:t>
            </w:r>
          </w:p>
        </w:tc>
      </w:tr>
      <w:tr>
        <w:tc>
          <w:tcPr>
            <w:tcW w:type="dxa" w:w="26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Project owner</w:t>
            </w:r>
          </w:p>
        </w:tc>
        <w:tc>
          <w:tcPr>
            <w:tcW w:type="dxa" w:w="67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[TBC: full name / GSPN ID / job title]</w:t>
            </w:r>
          </w:p>
        </w:tc>
      </w:tr>
      <w:tr>
        <w:tc>
          <w:tcPr>
            <w:tcW w:type="dxa" w:w="26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Award category</w:t>
            </w:r>
          </w:p>
        </w:tc>
        <w:tc>
          <w:tcPr>
            <w:tcW w:type="dxa" w:w="67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AI Transformation (AX) — AI-built internal application</w:t>
            </w:r>
          </w:p>
        </w:tc>
      </w:tr>
      <w:tr>
        <w:tc>
          <w:tcPr>
            <w:tcW w:type="dxa" w:w="26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Reporting line</w:t>
            </w:r>
          </w:p>
        </w:tc>
        <w:tc>
          <w:tcPr>
            <w:tcW w:type="dxa" w:w="67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Regional Headquarters (RHQ) — Top Management Review</w:t>
            </w:r>
          </w:p>
        </w:tc>
      </w:tr>
      <w:tr>
        <w:tc>
          <w:tcPr>
            <w:tcW w:type="dxa" w:w="26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Development period</w:t>
            </w:r>
          </w:p>
        </w:tc>
        <w:tc>
          <w:tcPr>
            <w:tcW w:type="dxa" w:w="67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February 2026 – September 2026 (7 months, continuous delivery)</w:t>
            </w:r>
          </w:p>
        </w:tc>
      </w:tr>
      <w:tr>
        <w:tc>
          <w:tcPr>
            <w:tcW w:type="dxa" w:w="26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Current status</w:t>
            </w:r>
          </w:p>
        </w:tc>
        <w:tc>
          <w:tcPr>
            <w:tcW w:type="dxa" w:w="67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Operational — deployed on the internal network for pilot use</w:t>
            </w:r>
          </w:p>
        </w:tc>
      </w:tr>
      <w:tr>
        <w:tc>
          <w:tcPr>
            <w:tcW w:type="dxa" w:w="26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Document date</w:t>
            </w:r>
          </w:p>
        </w:tc>
        <w:tc>
          <w:tcPr>
            <w:tcW w:type="dxa" w:w="67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2026-09-14</w:t>
            </w:r>
          </w:p>
        </w:tc>
      </w:tr>
      <w:tr>
        <w:tc>
          <w:tcPr>
            <w:tcW w:type="dxa" w:w="26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Classification</w:t>
            </w:r>
          </w:p>
        </w:tc>
        <w:tc>
          <w:tcPr>
            <w:tcW w:type="dxa" w:w="67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Confidential — Internal Use Only</w:t>
            </w:r>
          </w:p>
        </w:tc>
      </w:tr>
    </w:tbl>
    <w:p>
      <w:pPr>
        <w:spacing w:after="200"/>
      </w:pPr>
      <w:r>
        <w:t xml:space="preserve"/>
      </w:r>
    </w:p>
    <w:p>
      <w:pPr>
        <w:spacing w:after="130"/>
        <w:jc w:val="both"/>
      </w:pPr>
      <w:r>
        <w:rPr>
          <w:b w:val="false"/>
          <w:bCs w:val="false"/>
          <w:i/>
          <w:iCs/>
          <w:color w:val="5A6472"/>
          <w:sz w:val="19"/>
          <w:szCs w:val="19"/>
        </w:rPr>
        <w:t xml:space="preserve">Items marked "DATA TO CONFIRM" must be replaced with the official figures held by the Customer Service Division before submission to RHQ. All such items are consolidated in Appendix A.</w:t>
      </w:r>
    </w:p>
    <w:p>
      <w:pPr>
        <w:pageBreakBefore/>
      </w:pPr>
    </w:p>
    <w:p>
      <w:pPr>
        <w:pStyle w:val="Heading1"/>
        <w:pBdr>
          <w:bottom w:val="single" w:color="1428A0" w:sz="6" w:space="6"/>
        </w:pBdr>
        <w:spacing w:after="170" w:before="380"/>
      </w:pPr>
      <w:r>
        <w:rPr>
          <w:b/>
          <w:bCs/>
          <w:color w:val="0B1F3A"/>
          <w:sz w:val="30"/>
          <w:szCs w:val="30"/>
        </w:rPr>
        <w:t xml:space="preserve">Executive Summary</w:t>
      </w:r>
    </w:p>
    <w:p>
      <w:pPr>
        <w:spacing w:after="130"/>
        <w:jc w:val="both"/>
      </w:pPr>
      <w:r>
        <w:rPr>
          <w:b w:val="false"/>
          <w:bCs w:val="false"/>
          <w:i w:val="false"/>
          <w:iCs w:val="false"/>
          <w:color w:val="1A1A1A"/>
          <w:sz w:val="22"/>
          <w:szCs w:val="22"/>
        </w:rPr>
        <w:t xml:space="preserve">Samsung Electronics Egypt evaluates field service engineers against a defined set of service KPIs. The measurement model is mature; the feedback loop is not. Engineers are measured, ranked and compared, but they do not receive a structured view of their own results. The evaluation therefore functions as a control instrument rather than an improvement instrument: it tells management who is performing, but it does not tell the engineer how to improve.</w:t>
      </w:r>
    </w:p>
    <w:p>
      <w:pPr>
        <w:spacing w:after="130"/>
        <w:jc w:val="both"/>
      </w:pPr>
      <w:r>
        <w:rPr>
          <w:b w:val="false"/>
          <w:bCs w:val="false"/>
          <w:i w:val="false"/>
          <w:iCs w:val="false"/>
          <w:color w:val="1A1A1A"/>
          <w:sz w:val="22"/>
          <w:szCs w:val="22"/>
        </w:rPr>
        <w:t xml:space="preserve">SCORA closes that loop. It is an internally developed web application, built entirely with Samsung-approved AI coding assistants, that discloses each engineer’s own evaluation result to that engineer, identifies the KPI that drove the result, and connects the gap directly to the knowledge required to close it. Around this core, SCORA delivers three enablement layers that did not previously exist: a curated Technical Consultant knowledge base for front-desk staff and engineers, a bilingual AI service assistant (GoGo), and SCORA Challenge, a live competency quiz used for reinforcement and for measuring knowledge retention.</w:t>
      </w:r>
    </w:p>
    <w:p>
      <w:pPr>
        <w:spacing w:after="130"/>
        <w:jc w:val="both"/>
      </w:pPr>
      <w:r>
        <w:rPr>
          <w:b w:val="false"/>
          <w:bCs w:val="false"/>
          <w:i w:val="false"/>
          <w:iCs w:val="false"/>
          <w:color w:val="1A1A1A"/>
          <w:sz w:val="22"/>
          <w:szCs w:val="22"/>
        </w:rPr>
        <w:t xml:space="preserve">The application is operational today. It comprises approximately 39,700 lines of production code across 193 application modules and 19 secured server endpoints, delivered through 160 controlled releases over seven months by a single business owner using AI assistance — with no external development vendor, no software licence cost, and no incremental infrastructure investment.</w:t>
      </w:r>
    </w:p>
    <w:p>
      <w:pPr>
        <w:pStyle w:val="Heading3"/>
        <w:spacing w:after="80" w:before="200"/>
      </w:pPr>
      <w:r>
        <w:rPr>
          <w:b/>
          <w:bCs/>
          <w:color w:val="0B1F3A"/>
          <w:sz w:val="22"/>
          <w:szCs w:val="22"/>
        </w:rPr>
        <w:t xml:space="preserve">Why this qualifies as an AX best practice</w:t>
      </w:r>
    </w:p>
    <w:p>
      <w:pPr>
        <w:pStyle w:val="ListParagraph"/>
        <w:numPr>
          <w:ilvl w:val="0"/>
          <w:numId w:val="2"/>
        </w:numPr>
        <w:spacing w:after="60"/>
      </w:pPr>
      <w:r>
        <w:rPr>
          <w:sz w:val="21"/>
          <w:szCs w:val="21"/>
        </w:rPr>
        <w:t xml:space="preserve">AI was the delivery engine, not a feature label. The application was authored end-to-end through Samsung-approved AI assistants (Claude, ChatGPT, Gemini); that is what made this scope achievable by one owner in seven months.</w:t>
      </w:r>
    </w:p>
    <w:p>
      <w:pPr>
        <w:pStyle w:val="ListParagraph"/>
        <w:numPr>
          <w:ilvl w:val="0"/>
          <w:numId w:val="2"/>
        </w:numPr>
        <w:spacing w:after="60"/>
      </w:pPr>
      <w:r>
        <w:rPr>
          <w:sz w:val="21"/>
          <w:szCs w:val="21"/>
        </w:rPr>
        <w:t xml:space="preserve">It resolves a genuine operational gap — the absence of an engineer-level feedback loop — rather than demonstrating an AI capability for its own sake.</w:t>
      </w:r>
    </w:p>
    <w:p>
      <w:pPr>
        <w:pStyle w:val="ListParagraph"/>
        <w:numPr>
          <w:ilvl w:val="0"/>
          <w:numId w:val="2"/>
        </w:numPr>
        <w:spacing w:after="60"/>
      </w:pPr>
      <w:r>
        <w:rPr>
          <w:sz w:val="21"/>
          <w:szCs w:val="21"/>
        </w:rPr>
        <w:t xml:space="preserve">It is compliant by architecture. No employee or customer data is transmitted to any external AI model at runtime; runtime intelligence is deterministic and fully auditable.</w:t>
      </w:r>
    </w:p>
    <w:p>
      <w:pPr>
        <w:pStyle w:val="ListParagraph"/>
        <w:numPr>
          <w:ilvl w:val="0"/>
          <w:numId w:val="2"/>
        </w:numPr>
        <w:spacing w:after="60"/>
      </w:pPr>
      <w:r>
        <w:rPr>
          <w:sz w:val="21"/>
          <w:szCs w:val="21"/>
        </w:rPr>
        <w:t xml:space="preserve">It is replicable. The platform is configuration-driven by division and role and can be extended to other subsidiaries in the region without redevelopment.</w:t>
      </w:r>
    </w:p>
    <w:p>
      <w:pPr>
        <w:pStyle w:val="ListParagraph"/>
        <w:numPr>
          <w:ilvl w:val="0"/>
          <w:numId w:val="2"/>
        </w:numPr>
        <w:spacing w:after="60"/>
      </w:pPr>
      <w:r>
        <w:rPr>
          <w:sz w:val="21"/>
          <w:szCs w:val="21"/>
        </w:rPr>
        <w:t xml:space="preserve">Return on investment is structural: no licence cost, no vendor cost, and a permanent reduction in the manual reporting effort previously required to communicate evaluation results.</w:t>
      </w:r>
    </w:p>
    <w:p>
      <w:pPr>
        <w:pageBreakBefore/>
      </w:pPr>
    </w:p>
    <w:p>
      <w:pPr>
        <w:pStyle w:val="Heading1"/>
        <w:pBdr>
          <w:bottom w:val="single" w:color="1428A0" w:sz="6" w:space="6"/>
        </w:pBdr>
        <w:spacing w:after="170" w:before="380"/>
      </w:pPr>
      <w:r>
        <w:rPr>
          <w:b/>
          <w:bCs/>
          <w:color w:val="0B1F3A"/>
          <w:sz w:val="30"/>
          <w:szCs w:val="30"/>
        </w:rPr>
        <w:t xml:space="preserve">1. Current Situation and Problem Definition</w:t>
      </w:r>
    </w:p>
    <w:p>
      <w:pPr>
        <w:spacing w:after="130"/>
        <w:jc w:val="both"/>
      </w:pPr>
      <w:r>
        <w:rPr>
          <w:b w:val="false"/>
          <w:bCs w:val="false"/>
          <w:i w:val="false"/>
          <w:iCs w:val="false"/>
          <w:color w:val="1A1A1A"/>
          <w:sz w:val="22"/>
          <w:szCs w:val="22"/>
        </w:rPr>
        <w:t xml:space="preserve">Field engineer capability is the largest controllable driver of service quality, repeat-repair rate and customer satisfaction. Samsung Electronics Egypt already operates a structured engineer evaluation model based on defined service KPIs, consolidated periodically from operational systems into evaluation workbooks.</w:t>
      </w:r>
    </w:p>
    <w:p>
      <w:pPr>
        <w:spacing w:after="130"/>
        <w:jc w:val="both"/>
      </w:pPr>
      <w:r>
        <w:rPr>
          <w:b w:val="false"/>
          <w:bCs w:val="false"/>
          <w:i w:val="false"/>
          <w:iCs w:val="false"/>
          <w:color w:val="1A1A1A"/>
          <w:sz w:val="22"/>
          <w:szCs w:val="22"/>
        </w:rPr>
        <w:t xml:space="preserve">The measurement layer is therefore not the deficiency. The deficiency is that measurement terminates at management level and never returns to the individual engineer in a usable form.</w:t>
      </w:r>
    </w:p>
    <w:p>
      <w:pPr>
        <w:pStyle w:val="Heading2"/>
        <w:spacing w:after="110" w:before="280"/>
      </w:pPr>
      <w:r>
        <w:rPr>
          <w:b/>
          <w:bCs/>
          <w:color w:val="1428A0"/>
          <w:sz w:val="25"/>
          <w:szCs w:val="25"/>
        </w:rPr>
        <w:t xml:space="preserve">1.1 Core problem statement</w:t>
      </w:r>
    </w:p>
    <w:p>
      <w:pPr>
        <w:pBdr>
          <w:top w:val="single" w:color="1428A0" w:sz="4"/>
          <w:bottom w:val="single" w:color="1428A0" w:sz="4"/>
          <w:left w:val="single" w:color="1428A0" w:sz="18"/>
          <w:right w:val="single" w:color="1428A0" w:sz="4"/>
        </w:pBdr>
        <w:shd w:fill="F2F5FA" w:val="clear"/>
        <w:spacing w:after="170" w:before="80"/>
      </w:pPr>
      <w:r>
        <w:rPr>
          <w:b/>
          <w:bCs/>
          <w:color w:val="0B1F3A"/>
          <w:sz w:val="23"/>
          <w:szCs w:val="23"/>
        </w:rPr>
        <w:t xml:space="preserve">Engineers are evaluated but are not informed of their own evaluation results. Without visibility of their score, their ranking, or the specific KPI that caused the shortfall, engineers cannot self-correct — and the organisation cannot convert evaluation data into capability improvement.</w:t>
      </w:r>
    </w:p>
    <w:p>
      <w:pPr>
        <w:pStyle w:val="Heading2"/>
        <w:spacing w:after="110" w:before="280"/>
      </w:pPr>
      <w:r>
        <w:rPr>
          <w:b/>
          <w:bCs/>
          <w:color w:val="1428A0"/>
          <w:sz w:val="25"/>
          <w:szCs w:val="25"/>
        </w:rPr>
        <w:t xml:space="preserve">1.2 Structural weaknesses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2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w:t>
            </w:r>
          </w:p>
        </w:tc>
        <w:tc>
          <w:tcPr>
            <w:tcW w:type="dxa" w:w="437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Weakness in the pre-improvement state</w:t>
            </w:r>
          </w:p>
        </w:tc>
        <w:tc>
          <w:tcPr>
            <w:tcW w:type="dxa" w:w="437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Operational consequence</w:t>
            </w:r>
          </w:p>
        </w:tc>
      </w:tr>
      <w:tr>
        <w:tc>
          <w:tcPr>
            <w:tcW w:type="dxa" w:w="62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W1</w:t>
            </w:r>
          </w:p>
        </w:tc>
        <w:tc>
          <w:tcPr>
            <w:tcW w:type="dxa" w:w="437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 result feedback to the engineer. Evaluation outcomes remained inside management reporting.</w:t>
            </w:r>
          </w:p>
        </w:tc>
        <w:tc>
          <w:tcPr>
            <w:tcW w:type="dxa" w:w="437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The engineer cannot act on a result he never receives; evaluation produces no behavioural change.</w:t>
            </w:r>
          </w:p>
        </w:tc>
      </w:tr>
      <w:tr>
        <w:tc>
          <w:tcPr>
            <w:tcW w:type="dxa" w:w="62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W2</w:t>
            </w:r>
          </w:p>
        </w:tc>
        <w:tc>
          <w:tcPr>
            <w:tcW w:type="dxa" w:w="437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No KPI-level diagnosis. Where a total score was shared informally, the contributing KPI was not isolated.</w:t>
            </w:r>
          </w:p>
        </w:tc>
        <w:tc>
          <w:tcPr>
            <w:tcW w:type="dxa" w:w="437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Improvement effort is unfocused; a quality issue cannot be distinguished from a repeat-repair issue.</w:t>
            </w:r>
          </w:p>
        </w:tc>
      </w:tr>
      <w:tr>
        <w:tc>
          <w:tcPr>
            <w:tcW w:type="dxa" w:w="62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W3</w:t>
            </w:r>
          </w:p>
        </w:tc>
        <w:tc>
          <w:tcPr>
            <w:tcW w:type="dxa" w:w="437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 link between evaluation and learning. Evaluation and training operated as unrelated processes.</w:t>
            </w:r>
          </w:p>
        </w:tc>
        <w:tc>
          <w:tcPr>
            <w:tcW w:type="dxa" w:w="437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 measured weakness triggers no corrective knowledge action.</w:t>
            </w:r>
          </w:p>
        </w:tc>
      </w:tr>
      <w:tr>
        <w:tc>
          <w:tcPr>
            <w:tcW w:type="dxa" w:w="62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W4</w:t>
            </w:r>
          </w:p>
        </w:tc>
        <w:tc>
          <w:tcPr>
            <w:tcW w:type="dxa" w:w="437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Knowledge held informally. Technical tips and front-desk guidance circulated verbally and through chat groups.</w:t>
            </w:r>
          </w:p>
        </w:tc>
        <w:tc>
          <w:tcPr>
            <w:tcW w:type="dxa" w:w="437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Inconsistent customer handling; knowledge lost on staff rotation; no verified single source of truth.</w:t>
            </w:r>
          </w:p>
        </w:tc>
      </w:tr>
      <w:tr>
        <w:tc>
          <w:tcPr>
            <w:tcW w:type="dxa" w:w="62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W5</w:t>
            </w:r>
          </w:p>
        </w:tc>
        <w:tc>
          <w:tcPr>
            <w:tcW w:type="dxa" w:w="437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Manual, repetitive reporting. Consolidation and distribution depended on manual spreadsheet work.</w:t>
            </w:r>
          </w:p>
        </w:tc>
        <w:tc>
          <w:tcPr>
            <w:tcW w:type="dxa" w:w="437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Recurring administrative load, delayed communication and version-control risk.</w:t>
            </w:r>
          </w:p>
        </w:tc>
      </w:tr>
      <w:tr>
        <w:tc>
          <w:tcPr>
            <w:tcW w:type="dxa" w:w="62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W6</w:t>
            </w:r>
          </w:p>
        </w:tc>
        <w:tc>
          <w:tcPr>
            <w:tcW w:type="dxa" w:w="437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No recognition mechanism. High performers were not visibly acknowledged to peers.</w:t>
            </w:r>
          </w:p>
        </w:tc>
        <w:tc>
          <w:tcPr>
            <w:tcW w:type="dxa" w:w="437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No competitive incentive; capability development is not culturally reinforced.</w:t>
            </w:r>
          </w:p>
        </w:tc>
      </w:tr>
      <w:tr>
        <w:tc>
          <w:tcPr>
            <w:tcW w:type="dxa" w:w="62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W7</w:t>
            </w:r>
          </w:p>
        </w:tc>
        <w:tc>
          <w:tcPr>
            <w:tcW w:type="dxa" w:w="437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 measurement of training effectiveness. Delivery was recorded; retention was not.</w:t>
            </w:r>
          </w:p>
        </w:tc>
        <w:tc>
          <w:tcPr>
            <w:tcW w:type="dxa" w:w="437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Training investment cannot be evaluated against outcome.</w:t>
            </w:r>
          </w:p>
        </w:tc>
      </w:tr>
    </w:tbl>
    <w:p>
      <w:pPr>
        <w:spacing w:after="140"/>
      </w:pPr>
      <w:r>
        <w:t xml:space="preserve"/>
      </w:r>
    </w:p>
    <w:p>
      <w:pPr>
        <w:spacing w:after="120"/>
      </w:pPr>
      <w:r>
        <w:rPr>
          <w:b/>
          <w:bCs/>
          <w:color w:val="B32017"/>
          <w:sz w:val="19"/>
          <w:szCs w:val="19"/>
        </w:rPr>
        <w:t xml:space="preserve">DATA TO CONFIRM:  </w:t>
      </w:r>
      <w:r>
        <w:rPr>
          <w:i/>
          <w:iCs/>
          <w:color w:val="B32017"/>
          <w:sz w:val="20"/>
          <w:szCs w:val="20"/>
        </w:rPr>
        <w:t xml:space="preserve">Insert baseline figures to quantify this section: total engineers under evaluation; number of service centres and partners covered; average working days between quarter close and communication of results to engineers under the previous process; estimated man-hours per cycle previously spent on manual consolidation and distribution.</w:t>
      </w:r>
    </w:p>
    <w:p>
      <w:pPr>
        <w:pStyle w:val="Heading2"/>
        <w:spacing w:after="110" w:before="280"/>
      </w:pPr>
      <w:r>
        <w:rPr>
          <w:b/>
          <w:bCs/>
          <w:color w:val="1428A0"/>
          <w:sz w:val="25"/>
          <w:szCs w:val="25"/>
        </w:rPr>
        <w:t xml:space="preserve">1.3 Constraints imposed on the solution</w:t>
      </w:r>
    </w:p>
    <w:p>
      <w:pPr>
        <w:spacing w:after="130"/>
        <w:jc w:val="both"/>
      </w:pPr>
      <w:r>
        <w:rPr>
          <w:b w:val="false"/>
          <w:bCs w:val="false"/>
          <w:i w:val="false"/>
          <w:iCs w:val="false"/>
          <w:color w:val="1A1A1A"/>
          <w:sz w:val="22"/>
          <w:szCs w:val="22"/>
        </w:rPr>
        <w:t xml:space="preserve">The solution was delivered inside three non-negotiable constraints, which materially shaped the architecture:</w:t>
      </w:r>
    </w:p>
    <w:p>
      <w:pPr>
        <w:pStyle w:val="ListParagraph"/>
        <w:numPr>
          <w:ilvl w:val="0"/>
          <w:numId w:val="2"/>
        </w:numPr>
        <w:spacing w:after="60"/>
      </w:pPr>
      <w:r>
        <w:rPr>
          <w:sz w:val="21"/>
          <w:szCs w:val="21"/>
        </w:rPr>
        <w:t xml:space="preserve">Approved AI tooling only. Development was permitted using Claude, ChatGPT and Gemini exclusively. No other AI platform, code-generation service or external contractor was engaged.</w:t>
      </w:r>
    </w:p>
    <w:p>
      <w:pPr>
        <w:pStyle w:val="ListParagraph"/>
        <w:numPr>
          <w:ilvl w:val="0"/>
          <w:numId w:val="2"/>
        </w:numPr>
        <w:spacing w:after="60"/>
      </w:pPr>
      <w:r>
        <w:rPr>
          <w:sz w:val="21"/>
          <w:szCs w:val="21"/>
        </w:rPr>
        <w:t xml:space="preserve">Internal deployment. The application was deployed and operated on the internal Samsung network for pilot use, keeping the working environment under local control.</w:t>
      </w:r>
    </w:p>
    <w:p>
      <w:pPr>
        <w:pStyle w:val="ListParagraph"/>
        <w:numPr>
          <w:ilvl w:val="0"/>
          <w:numId w:val="2"/>
        </w:numPr>
        <w:spacing w:after="60"/>
      </w:pPr>
      <w:r>
        <w:rPr>
          <w:sz w:val="21"/>
          <w:szCs w:val="21"/>
        </w:rPr>
        <w:t xml:space="preserve">No incremental budget. No software licence, no vendor engagement, no additional infrastructure procurement.</w:t>
      </w:r>
    </w:p>
    <w:p>
      <w:pPr>
        <w:pageBreakBefore/>
      </w:pPr>
    </w:p>
    <w:p>
      <w:pPr>
        <w:pStyle w:val="Heading1"/>
        <w:pBdr>
          <w:bottom w:val="single" w:color="1428A0" w:sz="6" w:space="6"/>
        </w:pBdr>
        <w:spacing w:after="170" w:before="380"/>
      </w:pPr>
      <w:r>
        <w:rPr>
          <w:b/>
          <w:bCs/>
          <w:color w:val="0B1F3A"/>
          <w:sz w:val="30"/>
          <w:szCs w:val="30"/>
        </w:rPr>
        <w:t xml:space="preserve">2. Improvement Goals and Key Improvement Items</w:t>
      </w:r>
    </w:p>
    <w:p>
      <w:pPr>
        <w:spacing w:after="130"/>
        <w:jc w:val="both"/>
      </w:pPr>
      <w:r>
        <w:rPr>
          <w:b w:val="false"/>
          <w:bCs w:val="false"/>
          <w:i w:val="false"/>
          <w:iCs w:val="false"/>
          <w:color w:val="1A1A1A"/>
          <w:sz w:val="22"/>
          <w:szCs w:val="22"/>
        </w:rPr>
        <w:t xml:space="preserve">The programme objective is to convert engineer evaluation from a reporting output into a capability-development engine, and to industrialise the knowledge that supports it.</w:t>
      </w:r>
    </w:p>
    <w:p>
      <w:pPr>
        <w:pStyle w:val="Heading2"/>
        <w:spacing w:after="110" w:before="280"/>
      </w:pPr>
      <w:r>
        <w:rPr>
          <w:b/>
          <w:bCs/>
          <w:color w:val="1428A0"/>
          <w:sz w:val="25"/>
          <w:szCs w:val="25"/>
        </w:rPr>
        <w:t xml:space="preserve">2.1 Strategic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8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Goal</w:t>
            </w:r>
          </w:p>
        </w:tc>
        <w:tc>
          <w:tcPr>
            <w:tcW w:type="dxa" w:w="384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Definition</w:t>
            </w:r>
          </w:p>
        </w:tc>
        <w:tc>
          <w:tcPr>
            <w:tcW w:type="dxa" w:w="354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Success measure</w:t>
            </w:r>
          </w:p>
        </w:tc>
      </w:tr>
      <w:tr>
        <w:tc>
          <w:tcPr>
            <w:tcW w:type="dxa" w:w="19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G1 — Transparency</w:t>
            </w:r>
          </w:p>
        </w:tc>
        <w:tc>
          <w:tcPr>
            <w:tcW w:type="dxa" w:w="384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Every evaluated engineer can see his own result, KPI breakdown and standing.</w:t>
            </w:r>
          </w:p>
        </w:tc>
        <w:tc>
          <w:tcPr>
            <w:tcW w:type="dxa" w:w="354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Share of evaluated engineers accessing their own result at least once per cycle.</w:t>
            </w:r>
          </w:p>
        </w:tc>
      </w:tr>
      <w:tr>
        <w:tc>
          <w:tcPr>
            <w:tcW w:type="dxa" w:w="19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G2 — Actionability</w:t>
            </w:r>
          </w:p>
        </w:tc>
        <w:tc>
          <w:tcPr>
            <w:tcW w:type="dxa" w:w="384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Every result is accompanied by the specific KPI gap and the corresponding corrective knowledge.</w:t>
            </w:r>
          </w:p>
        </w:tc>
        <w:tc>
          <w:tcPr>
            <w:tcW w:type="dxa" w:w="354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Cycle-on-cycle improvement in the weakest KPI at engineer level.</w:t>
            </w:r>
          </w:p>
        </w:tc>
      </w:tr>
      <w:tr>
        <w:tc>
          <w:tcPr>
            <w:tcW w:type="dxa" w:w="19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G3 — Knowledge standardisation</w:t>
            </w:r>
          </w:p>
        </w:tc>
        <w:tc>
          <w:tcPr>
            <w:tcW w:type="dxa" w:w="384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One verified internal source of technical and front-desk knowledge, replacing informal circulation.</w:t>
            </w:r>
          </w:p>
        </w:tc>
        <w:tc>
          <w:tcPr>
            <w:tcW w:type="dxa" w:w="354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Number of published knowledge items and monthly active readers.</w:t>
            </w:r>
          </w:p>
        </w:tc>
      </w:tr>
      <w:tr>
        <w:tc>
          <w:tcPr>
            <w:tcW w:type="dxa" w:w="19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G4 — Capability reinforcement</w:t>
            </w:r>
          </w:p>
        </w:tc>
        <w:tc>
          <w:tcPr>
            <w:tcW w:type="dxa" w:w="384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Structured, measurable reinforcement of technical knowledge through live competency challenges.</w:t>
            </w:r>
          </w:p>
        </w:tc>
        <w:tc>
          <w:tcPr>
            <w:tcW w:type="dxa" w:w="354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Average score per session and score trend by division.</w:t>
            </w:r>
          </w:p>
        </w:tc>
      </w:tr>
      <w:tr>
        <w:tc>
          <w:tcPr>
            <w:tcW w:type="dxa" w:w="19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G5 — Administrative efficiency</w:t>
            </w:r>
          </w:p>
        </w:tc>
        <w:tc>
          <w:tcPr>
            <w:tcW w:type="dxa" w:w="384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Elimination of manual consolidation and distribution of evaluation results.</w:t>
            </w:r>
          </w:p>
        </w:tc>
        <w:tc>
          <w:tcPr>
            <w:tcW w:type="dxa" w:w="354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Man-hours saved per cycle against the pre-improvement baseline.</w:t>
            </w:r>
          </w:p>
        </w:tc>
      </w:tr>
      <w:tr>
        <w:tc>
          <w:tcPr>
            <w:tcW w:type="dxa" w:w="19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G6 — Governed AI adoption</w:t>
            </w:r>
          </w:p>
        </w:tc>
        <w:tc>
          <w:tcPr>
            <w:tcW w:type="dxa" w:w="384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Demonstrate that approved AI tooling can deliver production-grade internal systems without data-governance exposure.</w:t>
            </w:r>
          </w:p>
        </w:tc>
        <w:tc>
          <w:tcPr>
            <w:tcW w:type="dxa" w:w="354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Zero employee or customer records transmitted to external AI providers at runtime.</w:t>
            </w:r>
          </w:p>
        </w:tc>
      </w:tr>
    </w:tbl>
    <w:p>
      <w:pPr>
        <w:pStyle w:val="Heading2"/>
        <w:spacing w:after="110" w:before="280"/>
      </w:pPr>
      <w:r>
        <w:rPr>
          <w:b/>
          <w:bCs/>
          <w:color w:val="1428A0"/>
          <w:sz w:val="25"/>
          <w:szCs w:val="25"/>
        </w:rPr>
        <w:t xml:space="preserve">2.2 Key improvement items delivered</w:t>
      </w:r>
    </w:p>
    <w:p>
      <w:pPr>
        <w:pStyle w:val="Heading3"/>
        <w:spacing w:after="80" w:before="200"/>
      </w:pPr>
      <w:r>
        <w:rPr>
          <w:b/>
          <w:bCs/>
          <w:color w:val="0B1F3A"/>
          <w:sz w:val="22"/>
          <w:szCs w:val="22"/>
        </w:rPr>
        <w:t xml:space="preserve">KI-1  Engineer self-service result disclosure</w:t>
      </w:r>
    </w:p>
    <w:p>
      <w:pPr>
        <w:spacing w:after="110"/>
        <w:jc w:val="both"/>
      </w:pPr>
      <w:r>
        <w:rPr>
          <w:b/>
          <w:bCs/>
          <w:color w:val="0B1F3A"/>
          <w:sz w:val="22"/>
          <w:szCs w:val="22"/>
        </w:rPr>
        <w:t xml:space="preserve">Delivered:  </w:t>
      </w:r>
      <w:r>
        <w:rPr>
          <w:color w:val="1A1A1A"/>
          <w:sz w:val="22"/>
          <w:szCs w:val="22"/>
        </w:rPr>
        <w:t xml:space="preserve">Authenticated engineer access to the individual evaluation record — final result, KPI-level detail, quarterly history and position within the ranking.</w:t>
      </w:r>
    </w:p>
    <w:p>
      <w:pPr>
        <w:spacing w:after="110"/>
        <w:jc w:val="both"/>
      </w:pPr>
      <w:r>
        <w:rPr>
          <w:b/>
          <w:bCs/>
          <w:color w:val="0B1F3A"/>
          <w:sz w:val="22"/>
          <w:szCs w:val="22"/>
        </w:rPr>
        <w:t xml:space="preserve">Addresses:  </w:t>
      </w:r>
      <w:r>
        <w:rPr>
          <w:color w:val="1A1A1A"/>
          <w:sz w:val="22"/>
          <w:szCs w:val="22"/>
        </w:rPr>
        <w:t xml:space="preserve">W1, W2.</w:t>
      </w:r>
    </w:p>
    <w:p>
      <w:pPr>
        <w:pStyle w:val="Heading3"/>
        <w:spacing w:after="80" w:before="200"/>
      </w:pPr>
      <w:r>
        <w:rPr>
          <w:b/>
          <w:bCs/>
          <w:color w:val="0B1F3A"/>
          <w:sz w:val="22"/>
          <w:szCs w:val="22"/>
        </w:rPr>
        <w:t xml:space="preserve">KI-2  KPI-level diagnostic view</w:t>
      </w:r>
    </w:p>
    <w:p>
      <w:pPr>
        <w:spacing w:after="110"/>
        <w:jc w:val="both"/>
      </w:pPr>
      <w:r>
        <w:rPr>
          <w:b/>
          <w:bCs/>
          <w:color w:val="0B1F3A"/>
          <w:sz w:val="22"/>
          <w:szCs w:val="22"/>
        </w:rPr>
        <w:t xml:space="preserve">Delivered:  </w:t>
      </w:r>
      <w:r>
        <w:rPr>
          <w:color w:val="1A1A1A"/>
          <w:sz w:val="22"/>
          <w:szCs w:val="22"/>
        </w:rPr>
        <w:t xml:space="preserve">Each evaluation is decomposed into its constituent service KPIs — service success rate, repeat-repair ratio, quality-check compliance, customer recommendation score and examination performance — so the engineer sees precisely which component reduced the result.</w:t>
      </w:r>
    </w:p>
    <w:p>
      <w:pPr>
        <w:spacing w:after="110"/>
        <w:jc w:val="both"/>
      </w:pPr>
      <w:r>
        <w:rPr>
          <w:b/>
          <w:bCs/>
          <w:color w:val="0B1F3A"/>
          <w:sz w:val="22"/>
          <w:szCs w:val="22"/>
        </w:rPr>
        <w:t xml:space="preserve">Addresses:  </w:t>
      </w:r>
      <w:r>
        <w:rPr>
          <w:color w:val="1A1A1A"/>
          <w:sz w:val="22"/>
          <w:szCs w:val="22"/>
        </w:rPr>
        <w:t xml:space="preserve">W2.</w:t>
      </w:r>
    </w:p>
    <w:p>
      <w:pPr>
        <w:pStyle w:val="Heading3"/>
        <w:spacing w:after="80" w:before="200"/>
      </w:pPr>
      <w:r>
        <w:rPr>
          <w:b/>
          <w:bCs/>
          <w:color w:val="0B1F3A"/>
          <w:sz w:val="22"/>
          <w:szCs w:val="22"/>
        </w:rPr>
        <w:t xml:space="preserve">KI-3  Technical Consultant knowledge portal</w:t>
      </w:r>
    </w:p>
    <w:p>
      <w:pPr>
        <w:spacing w:after="110"/>
        <w:jc w:val="both"/>
      </w:pPr>
      <w:r>
        <w:rPr>
          <w:b/>
          <w:bCs/>
          <w:color w:val="0B1F3A"/>
          <w:sz w:val="22"/>
          <w:szCs w:val="22"/>
        </w:rPr>
        <w:t xml:space="preserve">Delivered:  </w:t>
      </w:r>
      <w:r>
        <w:rPr>
          <w:color w:val="1A1A1A"/>
          <w:sz w:val="22"/>
          <w:szCs w:val="22"/>
        </w:rPr>
        <w:t xml:space="preserve">A curated, versioned knowledge base of technical tips and front-desk handling guidance, published centrally, consumed by engineers and front-desk staff, with per-user reading progress and comprehension checks on each item.</w:t>
      </w:r>
    </w:p>
    <w:p>
      <w:pPr>
        <w:spacing w:after="110"/>
        <w:jc w:val="both"/>
      </w:pPr>
      <w:r>
        <w:rPr>
          <w:b/>
          <w:bCs/>
          <w:color w:val="0B1F3A"/>
          <w:sz w:val="22"/>
          <w:szCs w:val="22"/>
        </w:rPr>
        <w:t xml:space="preserve">Addresses:  </w:t>
      </w:r>
      <w:r>
        <w:rPr>
          <w:color w:val="1A1A1A"/>
          <w:sz w:val="22"/>
          <w:szCs w:val="22"/>
        </w:rPr>
        <w:t xml:space="preserve">W3, W4.</w:t>
      </w:r>
    </w:p>
    <w:p>
      <w:pPr>
        <w:pStyle w:val="Heading3"/>
        <w:spacing w:after="80" w:before="200"/>
      </w:pPr>
      <w:r>
        <w:rPr>
          <w:b/>
          <w:bCs/>
          <w:color w:val="0B1F3A"/>
          <w:sz w:val="22"/>
          <w:szCs w:val="22"/>
        </w:rPr>
        <w:t xml:space="preserve">KI-4  GoGo AI service assistant</w:t>
      </w:r>
    </w:p>
    <w:p>
      <w:pPr>
        <w:spacing w:after="110"/>
        <w:jc w:val="both"/>
      </w:pPr>
      <w:r>
        <w:rPr>
          <w:b/>
          <w:bCs/>
          <w:color w:val="0B1F3A"/>
          <w:sz w:val="22"/>
          <w:szCs w:val="22"/>
        </w:rPr>
        <w:t xml:space="preserve">Delivered:  </w:t>
      </w:r>
      <w:r>
        <w:rPr>
          <w:color w:val="1A1A1A"/>
          <w:sz w:val="22"/>
          <w:szCs w:val="22"/>
        </w:rPr>
        <w:t xml:space="preserve">A bilingual (English / Egyptian Arabic) in-application assistant that answers KPI-definition, process and product questions through a guided conversation model, supports voice input and spoken response, and routes the user to the relevant knowledge item.</w:t>
      </w:r>
    </w:p>
    <w:p>
      <w:pPr>
        <w:spacing w:after="110"/>
        <w:jc w:val="both"/>
      </w:pPr>
      <w:r>
        <w:rPr>
          <w:b/>
          <w:bCs/>
          <w:color w:val="0B1F3A"/>
          <w:sz w:val="22"/>
          <w:szCs w:val="22"/>
        </w:rPr>
        <w:t xml:space="preserve">Addresses:  </w:t>
      </w:r>
      <w:r>
        <w:rPr>
          <w:color w:val="1A1A1A"/>
          <w:sz w:val="22"/>
          <w:szCs w:val="22"/>
        </w:rPr>
        <w:t xml:space="preserve">W3, W4.</w:t>
      </w:r>
    </w:p>
    <w:p>
      <w:pPr>
        <w:pStyle w:val="Heading3"/>
        <w:spacing w:after="80" w:before="200"/>
      </w:pPr>
      <w:r>
        <w:rPr>
          <w:b/>
          <w:bCs/>
          <w:color w:val="0B1F3A"/>
          <w:sz w:val="22"/>
          <w:szCs w:val="22"/>
        </w:rPr>
        <w:t xml:space="preserve">KI-5  SCORA Challenge live competency quiz</w:t>
      </w:r>
    </w:p>
    <w:p>
      <w:pPr>
        <w:spacing w:after="110"/>
        <w:jc w:val="both"/>
      </w:pPr>
      <w:r>
        <w:rPr>
          <w:b/>
          <w:bCs/>
          <w:color w:val="0B1F3A"/>
          <w:sz w:val="22"/>
          <w:szCs w:val="22"/>
        </w:rPr>
        <w:t xml:space="preserve">Delivered:  </w:t>
      </w:r>
      <w:r>
        <w:rPr>
          <w:color w:val="1A1A1A"/>
          <w:sz w:val="22"/>
          <w:szCs w:val="22"/>
        </w:rPr>
        <w:t xml:space="preserve">A live, PIN-joined competency challenge supporting up to 200 concurrent participants, with server-authoritative scoring, five question formats, division-specific question banks, live leaderboard and post-session result analysis.</w:t>
      </w:r>
    </w:p>
    <w:p>
      <w:pPr>
        <w:spacing w:after="110"/>
        <w:jc w:val="both"/>
      </w:pPr>
      <w:r>
        <w:rPr>
          <w:b/>
          <w:bCs/>
          <w:color w:val="0B1F3A"/>
          <w:sz w:val="22"/>
          <w:szCs w:val="22"/>
        </w:rPr>
        <w:t xml:space="preserve">Addresses:  </w:t>
      </w:r>
      <w:r>
        <w:rPr>
          <w:color w:val="1A1A1A"/>
          <w:sz w:val="22"/>
          <w:szCs w:val="22"/>
        </w:rPr>
        <w:t xml:space="preserve">W6, W7.</w:t>
      </w:r>
    </w:p>
    <w:p>
      <w:pPr>
        <w:pStyle w:val="Heading3"/>
        <w:spacing w:after="80" w:before="200"/>
      </w:pPr>
      <w:r>
        <w:rPr>
          <w:b/>
          <w:bCs/>
          <w:color w:val="0B1F3A"/>
          <w:sz w:val="22"/>
          <w:szCs w:val="22"/>
        </w:rPr>
        <w:t xml:space="preserve">KI-6  Administrative automation and governance</w:t>
      </w:r>
    </w:p>
    <w:p>
      <w:pPr>
        <w:spacing w:after="110"/>
        <w:jc w:val="both"/>
      </w:pPr>
      <w:r>
        <w:rPr>
          <w:b/>
          <w:bCs/>
          <w:color w:val="0B1F3A"/>
          <w:sz w:val="22"/>
          <w:szCs w:val="22"/>
        </w:rPr>
        <w:t xml:space="preserve">Delivered:  </w:t>
      </w:r>
      <w:r>
        <w:rPr>
          <w:color w:val="1A1A1A"/>
          <w:sz w:val="22"/>
          <w:szCs w:val="22"/>
        </w:rPr>
        <w:t xml:space="preserve">Workbook-driven import of evaluation data, automated ranking and tier calculation, role-based administrative access, immutable audit logging of every administrative action, and controlled export for management reporting.</w:t>
      </w:r>
    </w:p>
    <w:p>
      <w:pPr>
        <w:spacing w:after="110"/>
        <w:jc w:val="both"/>
      </w:pPr>
      <w:r>
        <w:rPr>
          <w:b/>
          <w:bCs/>
          <w:color w:val="0B1F3A"/>
          <w:sz w:val="22"/>
          <w:szCs w:val="22"/>
        </w:rPr>
        <w:t xml:space="preserve">Addresses:  </w:t>
      </w:r>
      <w:r>
        <w:rPr>
          <w:color w:val="1A1A1A"/>
          <w:sz w:val="22"/>
          <w:szCs w:val="22"/>
        </w:rPr>
        <w:t xml:space="preserve">W5.</w:t>
      </w:r>
    </w:p>
    <w:p>
      <w:pPr>
        <w:pageBreakBefore/>
      </w:pPr>
    </w:p>
    <w:p>
      <w:pPr>
        <w:pStyle w:val="Heading1"/>
        <w:pBdr>
          <w:bottom w:val="single" w:color="1428A0" w:sz="6" w:space="6"/>
        </w:pBdr>
        <w:spacing w:after="170" w:before="380"/>
      </w:pPr>
      <w:r>
        <w:rPr>
          <w:b/>
          <w:bCs/>
          <w:color w:val="0B1F3A"/>
          <w:sz w:val="30"/>
          <w:szCs w:val="30"/>
        </w:rPr>
        <w:t xml:space="preserve">3. Workflow — Before and After Improvement</w:t>
      </w:r>
    </w:p>
    <w:p>
      <w:pPr>
        <w:pStyle w:val="Heading2"/>
        <w:spacing w:after="110" w:before="280"/>
      </w:pPr>
      <w:r>
        <w:rPr>
          <w:b/>
          <w:bCs/>
          <w:color w:val="1428A0"/>
          <w:sz w:val="25"/>
          <w:szCs w:val="25"/>
        </w:rPr>
        <w:t xml:space="preserve">3.1 Evaluation feedback workflow</w:t>
      </w:r>
    </w:p>
    <w:p>
      <w:pPr>
        <w:pStyle w:val="Heading3"/>
        <w:spacing w:after="80" w:before="200"/>
      </w:pPr>
      <w:r>
        <w:rPr>
          <w:b/>
          <w:bCs/>
          <w:color w:val="0B1F3A"/>
          <w:sz w:val="22"/>
          <w:szCs w:val="22"/>
        </w:rPr>
        <w:t xml:space="preserve">Before improvement</w:t>
      </w:r>
    </w:p>
    <w:p>
      <w:pPr>
        <w:pStyle w:val="ListParagraph"/>
        <w:numPr>
          <w:ilvl w:val="0"/>
          <w:numId w:val="3"/>
        </w:numPr>
        <w:spacing w:after="60"/>
      </w:pPr>
      <w:r>
        <w:rPr>
          <w:sz w:val="21"/>
          <w:szCs w:val="21"/>
        </w:rPr>
        <w:t xml:space="preserve">Operational KPI data is consolidated into evaluation workbooks at cycle close.</w:t>
      </w:r>
    </w:p>
    <w:p>
      <w:pPr>
        <w:pStyle w:val="ListParagraph"/>
        <w:numPr>
          <w:ilvl w:val="0"/>
          <w:numId w:val="3"/>
        </w:numPr>
        <w:spacing w:after="60"/>
      </w:pPr>
      <w:r>
        <w:rPr>
          <w:sz w:val="21"/>
          <w:szCs w:val="21"/>
        </w:rPr>
        <w:t xml:space="preserve">Scores and rankings are calculated manually in spreadsheets.</w:t>
      </w:r>
    </w:p>
    <w:p>
      <w:pPr>
        <w:pStyle w:val="ListParagraph"/>
        <w:numPr>
          <w:ilvl w:val="0"/>
          <w:numId w:val="3"/>
        </w:numPr>
        <w:spacing w:after="60"/>
      </w:pPr>
      <w:r>
        <w:rPr>
          <w:sz w:val="21"/>
          <w:szCs w:val="21"/>
        </w:rPr>
        <w:t xml:space="preserve">Results are reported upward to management.</w:t>
      </w:r>
    </w:p>
    <w:p>
      <w:pPr>
        <w:pStyle w:val="ListParagraph"/>
        <w:numPr>
          <w:ilvl w:val="0"/>
          <w:numId w:val="3"/>
        </w:numPr>
        <w:spacing w:after="60"/>
      </w:pPr>
      <w:r>
        <w:rPr>
          <w:sz w:val="21"/>
          <w:szCs w:val="21"/>
        </w:rPr>
        <w:t xml:space="preserve">Structured distribution to the individual engineer does not take place.</w:t>
      </w:r>
    </w:p>
    <w:p>
      <w:pPr>
        <w:pStyle w:val="ListParagraph"/>
        <w:numPr>
          <w:ilvl w:val="0"/>
          <w:numId w:val="3"/>
        </w:numPr>
        <w:spacing w:after="60"/>
      </w:pPr>
      <w:r>
        <w:rPr>
          <w:sz w:val="21"/>
          <w:szCs w:val="21"/>
        </w:rPr>
        <w:t xml:space="preserve">The engineer continues working without knowledge of his result, his gap or his ranking.</w:t>
      </w:r>
    </w:p>
    <w:p>
      <w:pPr>
        <w:pStyle w:val="ListParagraph"/>
        <w:numPr>
          <w:ilvl w:val="0"/>
          <w:numId w:val="3"/>
        </w:numPr>
        <w:spacing w:after="60"/>
      </w:pPr>
      <w:r>
        <w:rPr>
          <w:sz w:val="21"/>
          <w:szCs w:val="21"/>
        </w:rPr>
        <w:t xml:space="preserve">PROCESS ENDS — no corrective action is triggered.</w:t>
      </w:r>
    </w:p>
    <w:p>
      <w:pPr>
        <w:spacing w:after="120"/>
      </w:pPr>
      <w:r>
        <w:t xml:space="preserve"/>
      </w:r>
    </w:p>
    <w:p>
      <w:pPr>
        <w:pStyle w:val="Heading3"/>
        <w:spacing w:after="80" w:before="200"/>
      </w:pPr>
      <w:r>
        <w:rPr>
          <w:b/>
          <w:bCs/>
          <w:color w:val="0B1F3A"/>
          <w:sz w:val="22"/>
          <w:szCs w:val="22"/>
        </w:rPr>
        <w:t xml:space="preserve">After improvement</w:t>
      </w:r>
    </w:p>
    <w:p>
      <w:pPr>
        <w:pStyle w:val="ListParagraph"/>
        <w:numPr>
          <w:ilvl w:val="0"/>
          <w:numId w:val="3"/>
        </w:numPr>
        <w:spacing w:after="60"/>
      </w:pPr>
      <w:r>
        <w:rPr>
          <w:sz w:val="21"/>
          <w:szCs w:val="21"/>
        </w:rPr>
        <w:t xml:space="preserve">The administrator uploads the evaluation workbook to SCORA; the system validates and imports it.</w:t>
      </w:r>
    </w:p>
    <w:p>
      <w:pPr>
        <w:pStyle w:val="ListParagraph"/>
        <w:numPr>
          <w:ilvl w:val="0"/>
          <w:numId w:val="3"/>
        </w:numPr>
        <w:spacing w:after="60"/>
      </w:pPr>
      <w:r>
        <w:rPr>
          <w:sz w:val="21"/>
          <w:szCs w:val="21"/>
        </w:rPr>
        <w:t xml:space="preserve">SCORA calculates final results, ranking and tier automatically, per division and per role.</w:t>
      </w:r>
    </w:p>
    <w:p>
      <w:pPr>
        <w:pStyle w:val="ListParagraph"/>
        <w:numPr>
          <w:ilvl w:val="0"/>
          <w:numId w:val="3"/>
        </w:numPr>
        <w:spacing w:after="60"/>
      </w:pPr>
      <w:r>
        <w:rPr>
          <w:sz w:val="21"/>
          <w:szCs w:val="21"/>
        </w:rPr>
        <w:t xml:space="preserve">The engineer signs in and immediately sees his own result, KPI breakdown and quarterly trend.</w:t>
      </w:r>
    </w:p>
    <w:p>
      <w:pPr>
        <w:pStyle w:val="ListParagraph"/>
        <w:numPr>
          <w:ilvl w:val="0"/>
          <w:numId w:val="3"/>
        </w:numPr>
        <w:spacing w:after="60"/>
      </w:pPr>
      <w:r>
        <w:rPr>
          <w:sz w:val="21"/>
          <w:szCs w:val="21"/>
        </w:rPr>
        <w:t xml:space="preserve">The weakest KPI is identified for the engineer.</w:t>
      </w:r>
    </w:p>
    <w:p>
      <w:pPr>
        <w:pStyle w:val="ListParagraph"/>
        <w:numPr>
          <w:ilvl w:val="0"/>
          <w:numId w:val="3"/>
        </w:numPr>
        <w:spacing w:after="60"/>
      </w:pPr>
      <w:r>
        <w:rPr>
          <w:sz w:val="21"/>
          <w:szCs w:val="21"/>
        </w:rPr>
        <w:t xml:space="preserve">The engineer is routed to the knowledge items and technical tips relevant to that KPI.</w:t>
      </w:r>
    </w:p>
    <w:p>
      <w:pPr>
        <w:pStyle w:val="ListParagraph"/>
        <w:numPr>
          <w:ilvl w:val="0"/>
          <w:numId w:val="3"/>
        </w:numPr>
        <w:spacing w:after="60"/>
      </w:pPr>
      <w:r>
        <w:rPr>
          <w:sz w:val="21"/>
          <w:szCs w:val="21"/>
        </w:rPr>
        <w:t xml:space="preserve">GoGo answers follow-up questions in the engineer’s own language, at the point of need.</w:t>
      </w:r>
    </w:p>
    <w:p>
      <w:pPr>
        <w:pStyle w:val="ListParagraph"/>
        <w:numPr>
          <w:ilvl w:val="0"/>
          <w:numId w:val="3"/>
        </w:numPr>
        <w:spacing w:after="60"/>
      </w:pPr>
      <w:r>
        <w:rPr>
          <w:sz w:val="21"/>
          <w:szCs w:val="21"/>
        </w:rPr>
        <w:t xml:space="preserve">SCORA Challenge reinforces and measures retention of the corrective knowledge.</w:t>
      </w:r>
    </w:p>
    <w:p>
      <w:pPr>
        <w:pStyle w:val="ListParagraph"/>
        <w:numPr>
          <w:ilvl w:val="0"/>
          <w:numId w:val="3"/>
        </w:numPr>
        <w:spacing w:after="60"/>
      </w:pPr>
      <w:r>
        <w:rPr>
          <w:sz w:val="21"/>
          <w:szCs w:val="21"/>
        </w:rPr>
        <w:t xml:space="preserve">Management reviews participation, knowledge coverage and score movement in the administrative portal.</w:t>
      </w:r>
    </w:p>
    <w:p>
      <w:pPr>
        <w:pStyle w:val="ListParagraph"/>
        <w:numPr>
          <w:ilvl w:val="0"/>
          <w:numId w:val="3"/>
        </w:numPr>
        <w:spacing w:after="60"/>
      </w:pPr>
      <w:r>
        <w:rPr>
          <w:sz w:val="21"/>
          <w:szCs w:val="21"/>
        </w:rPr>
        <w:t xml:space="preserve">PROCESS LOOPS — the next cycle is measured against an informed engineer population.</w:t>
      </w:r>
    </w:p>
    <w:p>
      <w:pPr>
        <w:spacing w:after="160"/>
      </w:pPr>
      <w:r>
        <w:t xml:space="preserve"/>
      </w:r>
    </w:p>
    <w:p>
      <w:pPr>
        <w:pStyle w:val="Heading2"/>
        <w:spacing w:after="110" w:before="280"/>
      </w:pPr>
      <w:r>
        <w:rPr>
          <w:b/>
          <w:bCs/>
          <w:color w:val="1428A0"/>
          <w:sz w:val="25"/>
          <w:szCs w:val="25"/>
        </w:rPr>
        <w:t xml:space="preserve">3.2 Comparative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Process dimension</w:t>
            </w:r>
          </w:p>
        </w:tc>
        <w:tc>
          <w:tcPr>
            <w:tcW w:type="dxa" w:w="348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Before improvement</w:t>
            </w:r>
          </w:p>
        </w:tc>
        <w:tc>
          <w:tcPr>
            <w:tcW w:type="dxa" w:w="348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After improvement</w:t>
            </w:r>
          </w:p>
        </w:tc>
      </w:tr>
      <w:tr>
        <w:tc>
          <w:tcPr>
            <w:tcW w:type="dxa" w:w="2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Result visibility to engineer</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None. Results remained in management reporting.</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Self-service, authenticated, on demand.</w:t>
            </w:r>
          </w:p>
        </w:tc>
      </w:tr>
      <w:tr>
        <w:tc>
          <w:tcPr>
            <w:tcW w:type="dxa" w:w="2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Diagnosis of weakness</w:t>
            </w:r>
          </w:p>
        </w:tc>
        <w:tc>
          <w:tcPr>
            <w:tcW w:type="dxa" w:w="34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Not provided at KPI level.</w:t>
            </w:r>
          </w:p>
        </w:tc>
        <w:tc>
          <w:tcPr>
            <w:tcW w:type="dxa" w:w="34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KPI-level breakdown per cycle, per engineer.</w:t>
            </w:r>
          </w:p>
        </w:tc>
      </w:tr>
      <w:tr>
        <w:tc>
          <w:tcPr>
            <w:tcW w:type="dxa" w:w="2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Link to corrective learning</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 structured link.</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Result routes directly to relevant knowledge items.</w:t>
            </w:r>
          </w:p>
        </w:tc>
      </w:tr>
      <w:tr>
        <w:tc>
          <w:tcPr>
            <w:tcW w:type="dxa" w:w="2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Knowledge source</w:t>
            </w:r>
          </w:p>
        </w:tc>
        <w:tc>
          <w:tcPr>
            <w:tcW w:type="dxa" w:w="34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Verbal and informal chat circulation.</w:t>
            </w:r>
          </w:p>
        </w:tc>
        <w:tc>
          <w:tcPr>
            <w:tcW w:type="dxa" w:w="34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Central, verified, versioned knowledge portal.</w:t>
            </w:r>
          </w:p>
        </w:tc>
      </w:tr>
      <w:tr>
        <w:tc>
          <w:tcPr>
            <w:tcW w:type="dxa" w:w="2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Language accessibility</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Technical material effectively English-only.</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English and Egyptian Arabic, with voice support.</w:t>
            </w:r>
          </w:p>
        </w:tc>
      </w:tr>
      <w:tr>
        <w:tc>
          <w:tcPr>
            <w:tcW w:type="dxa" w:w="2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Result consolidation</w:t>
            </w:r>
          </w:p>
        </w:tc>
        <w:tc>
          <w:tcPr>
            <w:tcW w:type="dxa" w:w="34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Manual spreadsheet preparation each cycle.</w:t>
            </w:r>
          </w:p>
        </w:tc>
        <w:tc>
          <w:tcPr>
            <w:tcW w:type="dxa" w:w="34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Automated import, calculation and ranking.</w:t>
            </w:r>
          </w:p>
        </w:tc>
      </w:tr>
      <w:tr>
        <w:tc>
          <w:tcPr>
            <w:tcW w:type="dxa" w:w="2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Recognition of performance</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Not visible to peers.</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Ranking, tiers and live challenge leaderboards.</w:t>
            </w:r>
          </w:p>
        </w:tc>
      </w:tr>
      <w:tr>
        <w:tc>
          <w:tcPr>
            <w:tcW w:type="dxa" w:w="2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Training effectiveness</w:t>
            </w:r>
          </w:p>
        </w:tc>
        <w:tc>
          <w:tcPr>
            <w:tcW w:type="dxa" w:w="34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Attendance recorded; retention unmeasured.</w:t>
            </w:r>
          </w:p>
        </w:tc>
        <w:tc>
          <w:tcPr>
            <w:tcW w:type="dxa" w:w="34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Retention measured per participant and division.</w:t>
            </w:r>
          </w:p>
        </w:tc>
      </w:tr>
      <w:tr>
        <w:tc>
          <w:tcPr>
            <w:tcW w:type="dxa" w:w="2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Auditability of changes</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Limited traceability of manual edits.</w:t>
            </w:r>
          </w:p>
        </w:tc>
        <w:tc>
          <w:tcPr>
            <w:tcW w:type="dxa" w:w="34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Immutable audit log of every administrative action.</w:t>
            </w:r>
          </w:p>
        </w:tc>
      </w:tr>
    </w:tbl>
    <w:p>
      <w:pPr>
        <w:spacing w:after="140"/>
      </w:pPr>
      <w:r>
        <w:t xml:space="preserve"/>
      </w:r>
    </w:p>
    <w:p>
      <w:pPr>
        <w:spacing w:after="120"/>
      </w:pPr>
      <w:r>
        <w:rPr>
          <w:b/>
          <w:bCs/>
          <w:color w:val="B32017"/>
          <w:sz w:val="19"/>
          <w:szCs w:val="19"/>
        </w:rPr>
        <w:t xml:space="preserve">DATA TO CONFIRM:  </w:t>
      </w:r>
      <w:r>
        <w:rPr>
          <w:i/>
          <w:iCs/>
          <w:color w:val="B32017"/>
          <w:sz w:val="20"/>
          <w:szCs w:val="20"/>
        </w:rPr>
        <w:t xml:space="preserve">Insert measured before/after values for: elapsed days from cycle close to engineer awareness of result; man-hours per cycle for consolidation and distribution; and share of engineers able to state their own current result when asked.</w:t>
      </w:r>
    </w:p>
    <w:p>
      <w:pPr>
        <w:pageBreakBefore/>
      </w:pPr>
    </w:p>
    <w:p>
      <w:pPr>
        <w:pStyle w:val="Heading1"/>
        <w:pBdr>
          <w:bottom w:val="single" w:color="1428A0" w:sz="6" w:space="6"/>
        </w:pBdr>
        <w:spacing w:after="170" w:before="380"/>
      </w:pPr>
      <w:r>
        <w:rPr>
          <w:b/>
          <w:bCs/>
          <w:color w:val="0B1F3A"/>
          <w:sz w:val="30"/>
          <w:szCs w:val="30"/>
        </w:rPr>
        <w:t xml:space="preserve">4. Scope of Implementation and Key Function Details</w:t>
      </w:r>
    </w:p>
    <w:p>
      <w:pPr>
        <w:pStyle w:val="Heading2"/>
        <w:spacing w:after="110" w:before="280"/>
      </w:pPr>
      <w:r>
        <w:rPr>
          <w:b/>
          <w:bCs/>
          <w:color w:val="1428A0"/>
          <w:sz w:val="25"/>
          <w:szCs w:val="25"/>
        </w:rPr>
        <w:t xml:space="preserve">4.1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Dimension</w:t>
            </w:r>
          </w:p>
        </w:tc>
        <w:tc>
          <w:tcPr>
            <w:tcW w:type="dxa" w:w="696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In scope</w:t>
            </w:r>
          </w:p>
        </w:tc>
      </w:tr>
      <w:tr>
        <w:tc>
          <w:tcPr>
            <w:tcW w:type="dxa" w:w="2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Divisions</w:t>
            </w:r>
          </w:p>
        </w:tc>
        <w:tc>
          <w:tcPr>
            <w:tcW w:type="dxa" w:w="69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Mobile Experience (MX), Digital Appliances (DA), Audio-Visual (AV)</w:t>
            </w:r>
          </w:p>
        </w:tc>
      </w:tr>
      <w:tr>
        <w:tc>
          <w:tcPr>
            <w:tcW w:type="dxa" w:w="2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Evaluated roles</w:t>
            </w:r>
          </w:p>
        </w:tc>
        <w:tc>
          <w:tcPr>
            <w:tcW w:type="dxa" w:w="69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Field service engineers; front-desk receptionists; Galaxy consultants</w:t>
            </w:r>
          </w:p>
        </w:tc>
      </w:tr>
      <w:tr>
        <w:tc>
          <w:tcPr>
            <w:tcW w:type="dxa" w:w="2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Evaluation cycle</w:t>
            </w:r>
          </w:p>
        </w:tc>
        <w:tc>
          <w:tcPr>
            <w:tcW w:type="dxa" w:w="69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Monthly capture with quarterly consolidation (Q1–Q4) and multi-quarter averaging</w:t>
            </w:r>
          </w:p>
        </w:tc>
      </w:tr>
      <w:tr>
        <w:tc>
          <w:tcPr>
            <w:tcW w:type="dxa" w:w="2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User groups</w:t>
            </w:r>
          </w:p>
        </w:tc>
        <w:tc>
          <w:tcPr>
            <w:tcW w:type="dxa" w:w="69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Engineers and front-desk staff; division administrators; management reviewers</w:t>
            </w:r>
          </w:p>
        </w:tc>
      </w:tr>
      <w:tr>
        <w:tc>
          <w:tcPr>
            <w:tcW w:type="dxa" w:w="2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Quality programme</w:t>
            </w:r>
          </w:p>
        </w:tc>
        <w:tc>
          <w:tcPr>
            <w:tcW w:type="dxa" w:w="69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Partner and service-centre quality audit (PQA) scoring across the seven official service partners</w:t>
            </w:r>
          </w:p>
        </w:tc>
      </w:tr>
      <w:tr>
        <w:tc>
          <w:tcPr>
            <w:tcW w:type="dxa" w:w="2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Deployment</w:t>
            </w:r>
          </w:p>
        </w:tc>
        <w:tc>
          <w:tcPr>
            <w:tcW w:type="dxa" w:w="69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Internal network deployment for pilot operation</w:t>
            </w:r>
          </w:p>
        </w:tc>
      </w:tr>
      <w:tr>
        <w:tc>
          <w:tcPr>
            <w:tcW w:type="dxa" w:w="2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Explicitly excluded</w:t>
            </w:r>
          </w:p>
        </w:tc>
        <w:tc>
          <w:tcPr>
            <w:tcW w:type="dxa" w:w="69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Payroll, HR master data, and customer-identifiable service records</w:t>
            </w:r>
          </w:p>
        </w:tc>
      </w:tr>
    </w:tbl>
    <w:p>
      <w:pPr>
        <w:pStyle w:val="Heading2"/>
        <w:spacing w:after="110" w:before="280"/>
      </w:pPr>
      <w:r>
        <w:rPr>
          <w:b/>
          <w:bCs/>
          <w:color w:val="1428A0"/>
          <w:sz w:val="25"/>
          <w:szCs w:val="25"/>
        </w:rPr>
        <w:t xml:space="preserve">4.2 Key functional modules</w:t>
      </w:r>
    </w:p>
    <w:p>
      <w:pPr>
        <w:pStyle w:val="Heading3"/>
        <w:spacing w:after="80" w:before="200"/>
      </w:pPr>
      <w:r>
        <w:rPr>
          <w:b/>
          <w:bCs/>
          <w:color w:val="0B1F3A"/>
          <w:sz w:val="22"/>
          <w:szCs w:val="22"/>
        </w:rPr>
        <w:t xml:space="preserve">M1 — Engineer evaluation and ranking engine</w:t>
      </w:r>
    </w:p>
    <w:p>
      <w:pPr>
        <w:pStyle w:val="ListParagraph"/>
        <w:numPr>
          <w:ilvl w:val="0"/>
          <w:numId w:val="2"/>
        </w:numPr>
        <w:spacing w:after="60"/>
      </w:pPr>
      <w:r>
        <w:rPr>
          <w:sz w:val="21"/>
          <w:szCs w:val="21"/>
        </w:rPr>
        <w:t xml:space="preserve">Imports and validates the official evaluation workbook, with column mapping and structural verification before any data is accepted.</w:t>
      </w:r>
    </w:p>
    <w:p>
      <w:pPr>
        <w:pStyle w:val="ListParagraph"/>
        <w:numPr>
          <w:ilvl w:val="0"/>
          <w:numId w:val="2"/>
        </w:numPr>
        <w:spacing w:after="60"/>
      </w:pPr>
      <w:r>
        <w:rPr>
          <w:sz w:val="21"/>
          <w:szCs w:val="21"/>
        </w:rPr>
        <w:t xml:space="preserve">Computes final result per quarter, multi-quarter average, ranking position and recognition tier.</w:t>
      </w:r>
    </w:p>
    <w:p>
      <w:pPr>
        <w:pStyle w:val="ListParagraph"/>
        <w:numPr>
          <w:ilvl w:val="0"/>
          <w:numId w:val="2"/>
        </w:numPr>
        <w:spacing w:after="60"/>
      </w:pPr>
      <w:r>
        <w:rPr>
          <w:sz w:val="21"/>
          <w:szCs w:val="21"/>
        </w:rPr>
        <w:t xml:space="preserve">Presents KPI components including service success rate, repeat-repair ratio (30/90-day), quality-check compliance, customer recommendation score and examination performance.</w:t>
      </w:r>
    </w:p>
    <w:p>
      <w:pPr>
        <w:pStyle w:val="ListParagraph"/>
        <w:numPr>
          <w:ilvl w:val="0"/>
          <w:numId w:val="2"/>
        </w:numPr>
        <w:spacing w:after="60"/>
      </w:pPr>
      <w:r>
        <w:rPr>
          <w:sz w:val="21"/>
          <w:szCs w:val="21"/>
        </w:rPr>
        <w:t xml:space="preserve">Supports role-specific scoring models for receptionist and Galaxy consultant populations in addition to engineers.</w:t>
      </w:r>
    </w:p>
    <w:p>
      <w:pPr>
        <w:pStyle w:val="ListParagraph"/>
        <w:numPr>
          <w:ilvl w:val="0"/>
          <w:numId w:val="2"/>
        </w:numPr>
        <w:spacing w:after="60"/>
      </w:pPr>
      <w:r>
        <w:rPr>
          <w:sz w:val="21"/>
          <w:szCs w:val="21"/>
        </w:rPr>
        <w:t xml:space="preserve">Provides monthly and quarterly views, historical comparison, and controlled management export.</w:t>
      </w:r>
    </w:p>
    <w:p>
      <w:pPr>
        <w:pStyle w:val="Heading3"/>
        <w:spacing w:after="80" w:before="200"/>
      </w:pPr>
      <w:r>
        <w:rPr>
          <w:b/>
          <w:bCs/>
          <w:color w:val="0B1F3A"/>
          <w:sz w:val="22"/>
          <w:szCs w:val="22"/>
        </w:rPr>
        <w:t xml:space="preserve">M2 — Engineer self-service portal</w:t>
      </w:r>
    </w:p>
    <w:p>
      <w:pPr>
        <w:pStyle w:val="ListParagraph"/>
        <w:numPr>
          <w:ilvl w:val="0"/>
          <w:numId w:val="2"/>
        </w:numPr>
        <w:spacing w:after="60"/>
      </w:pPr>
      <w:r>
        <w:rPr>
          <w:sz w:val="21"/>
          <w:szCs w:val="21"/>
        </w:rPr>
        <w:t xml:space="preserve">Individual authenticated sign-in; each engineer sees only his own record.</w:t>
      </w:r>
    </w:p>
    <w:p>
      <w:pPr>
        <w:pStyle w:val="ListParagraph"/>
        <w:numPr>
          <w:ilvl w:val="0"/>
          <w:numId w:val="2"/>
        </w:numPr>
        <w:spacing w:after="60"/>
      </w:pPr>
      <w:r>
        <w:rPr>
          <w:sz w:val="21"/>
          <w:szCs w:val="21"/>
        </w:rPr>
        <w:t xml:space="preserve">Personal result card with KPI breakdown, quarter-by-quarter trend and recognition tier.</w:t>
      </w:r>
    </w:p>
    <w:p>
      <w:pPr>
        <w:pStyle w:val="ListParagraph"/>
        <w:numPr>
          <w:ilvl w:val="0"/>
          <w:numId w:val="2"/>
        </w:numPr>
        <w:spacing w:after="60"/>
      </w:pPr>
      <w:r>
        <w:rPr>
          <w:sz w:val="21"/>
          <w:szCs w:val="21"/>
        </w:rPr>
        <w:t xml:space="preserve">Direct routing from a weak KPI to the corresponding knowledge items.</w:t>
      </w:r>
    </w:p>
    <w:p>
      <w:pPr>
        <w:pStyle w:val="Heading3"/>
        <w:spacing w:after="80" w:before="200"/>
      </w:pPr>
      <w:r>
        <w:rPr>
          <w:b/>
          <w:bCs/>
          <w:color w:val="0B1F3A"/>
          <w:sz w:val="22"/>
          <w:szCs w:val="22"/>
        </w:rPr>
        <w:t xml:space="preserve">M3 — Technical Consultant knowledge portal</w:t>
      </w:r>
    </w:p>
    <w:p>
      <w:pPr>
        <w:pStyle w:val="ListParagraph"/>
        <w:numPr>
          <w:ilvl w:val="0"/>
          <w:numId w:val="2"/>
        </w:numPr>
        <w:spacing w:after="60"/>
      </w:pPr>
      <w:r>
        <w:rPr>
          <w:sz w:val="21"/>
          <w:szCs w:val="21"/>
        </w:rPr>
        <w:t xml:space="preserve">Central publication of bilingual technical tips and front-desk handling guidance, with document and image attachments (PDF, presentation, spreadsheet and image formats).</w:t>
      </w:r>
    </w:p>
    <w:p>
      <w:pPr>
        <w:pStyle w:val="ListParagraph"/>
        <w:numPr>
          <w:ilvl w:val="0"/>
          <w:numId w:val="2"/>
        </w:numPr>
        <w:spacing w:after="60"/>
      </w:pPr>
      <w:r>
        <w:rPr>
          <w:sz w:val="21"/>
          <w:szCs w:val="21"/>
        </w:rPr>
        <w:t xml:space="preserve">Content is targeted by audience — all staff, Mobile Experience only, or Consumer Electronics (DA and AV).</w:t>
      </w:r>
    </w:p>
    <w:p>
      <w:pPr>
        <w:pStyle w:val="ListParagraph"/>
        <w:numPr>
          <w:ilvl w:val="0"/>
          <w:numId w:val="2"/>
        </w:numPr>
        <w:spacing w:after="60"/>
      </w:pPr>
      <w:r>
        <w:rPr>
          <w:sz w:val="21"/>
          <w:szCs w:val="21"/>
        </w:rPr>
        <w:t xml:space="preserve">Items can be designated mandatory, with per-user reading progress, a minimum engagement time and a comprehension check that must be passed before completion is recorded.</w:t>
      </w:r>
    </w:p>
    <w:p>
      <w:pPr>
        <w:pStyle w:val="ListParagraph"/>
        <w:numPr>
          <w:ilvl w:val="0"/>
          <w:numId w:val="2"/>
        </w:numPr>
        <w:spacing w:after="60"/>
      </w:pPr>
      <w:r>
        <w:rPr>
          <w:sz w:val="21"/>
          <w:szCs w:val="21"/>
        </w:rPr>
        <w:t xml:space="preserve">Draft, published and archived states give the administrator editorial control before release.</w:t>
      </w:r>
    </w:p>
    <w:p>
      <w:pPr>
        <w:pStyle w:val="ListParagraph"/>
        <w:numPr>
          <w:ilvl w:val="0"/>
          <w:numId w:val="2"/>
        </w:numPr>
        <w:spacing w:after="60"/>
      </w:pPr>
      <w:r>
        <w:rPr>
          <w:sz w:val="21"/>
          <w:szCs w:val="21"/>
        </w:rPr>
        <w:t xml:space="preserve">Announcement capability for urgent technical bulletins.</w:t>
      </w:r>
    </w:p>
    <w:p>
      <w:pPr>
        <w:pStyle w:val="Heading3"/>
        <w:spacing w:after="80" w:before="200"/>
      </w:pPr>
      <w:r>
        <w:rPr>
          <w:b/>
          <w:bCs/>
          <w:color w:val="0B1F3A"/>
          <w:sz w:val="22"/>
          <w:szCs w:val="22"/>
        </w:rPr>
        <w:t xml:space="preserve">M4 — GoGo AI service assistant</w:t>
      </w:r>
    </w:p>
    <w:p>
      <w:pPr>
        <w:pStyle w:val="ListParagraph"/>
        <w:numPr>
          <w:ilvl w:val="0"/>
          <w:numId w:val="2"/>
        </w:numPr>
        <w:spacing w:after="60"/>
      </w:pPr>
      <w:r>
        <w:rPr>
          <w:sz w:val="21"/>
          <w:szCs w:val="21"/>
        </w:rPr>
        <w:t xml:space="preserve">Guided conversation model covering KPI definitions, service process questions and product information.</w:t>
      </w:r>
    </w:p>
    <w:p>
      <w:pPr>
        <w:pStyle w:val="ListParagraph"/>
        <w:numPr>
          <w:ilvl w:val="0"/>
          <w:numId w:val="2"/>
        </w:numPr>
        <w:spacing w:after="60"/>
      </w:pPr>
      <w:r>
        <w:rPr>
          <w:sz w:val="21"/>
          <w:szCs w:val="21"/>
        </w:rPr>
        <w:t xml:space="preserve">Full English and Egyptian Arabic support, including voice input and spoken response.</w:t>
      </w:r>
    </w:p>
    <w:p>
      <w:pPr>
        <w:pStyle w:val="ListParagraph"/>
        <w:numPr>
          <w:ilvl w:val="0"/>
          <w:numId w:val="2"/>
        </w:numPr>
        <w:spacing w:after="60"/>
      </w:pPr>
      <w:r>
        <w:rPr>
          <w:sz w:val="21"/>
          <w:szCs w:val="21"/>
        </w:rPr>
        <w:t xml:space="preserve">Answers are drawn from the curated internal knowledge base rather than from generative output; product specification lookups use a restricted allow-listed source.</w:t>
      </w:r>
    </w:p>
    <w:p>
      <w:pPr>
        <w:pStyle w:val="ListParagraph"/>
        <w:numPr>
          <w:ilvl w:val="0"/>
          <w:numId w:val="2"/>
        </w:numPr>
        <w:spacing w:after="60"/>
      </w:pPr>
      <w:r>
        <w:rPr>
          <w:sz w:val="21"/>
          <w:szCs w:val="21"/>
        </w:rPr>
        <w:t xml:space="preserve">Escalates the user into the relevant knowledge item rather than terminating the conversation.</w:t>
      </w:r>
    </w:p>
    <w:p>
      <w:pPr>
        <w:pStyle w:val="Heading3"/>
        <w:spacing w:after="80" w:before="200"/>
      </w:pPr>
      <w:r>
        <w:rPr>
          <w:b/>
          <w:bCs/>
          <w:color w:val="0B1F3A"/>
          <w:sz w:val="22"/>
          <w:szCs w:val="22"/>
        </w:rPr>
        <w:t xml:space="preserve">M5 — SCORA Challenge live competency quiz</w:t>
      </w:r>
    </w:p>
    <w:p>
      <w:pPr>
        <w:pStyle w:val="ListParagraph"/>
        <w:numPr>
          <w:ilvl w:val="0"/>
          <w:numId w:val="2"/>
        </w:numPr>
        <w:spacing w:after="60"/>
      </w:pPr>
      <w:r>
        <w:rPr>
          <w:sz w:val="21"/>
          <w:szCs w:val="21"/>
        </w:rPr>
        <w:t xml:space="preserve">Up to 200 concurrent participants joining by six-digit PIN or QR code.</w:t>
      </w:r>
    </w:p>
    <w:p>
      <w:pPr>
        <w:pStyle w:val="ListParagraph"/>
        <w:numPr>
          <w:ilvl w:val="0"/>
          <w:numId w:val="2"/>
        </w:numPr>
        <w:spacing w:after="60"/>
      </w:pPr>
      <w:r>
        <w:rPr>
          <w:sz w:val="21"/>
          <w:szCs w:val="21"/>
        </w:rPr>
        <w:t xml:space="preserve">Five question formats: single choice, multiple choice, true/false, typed answer and poll.</w:t>
      </w:r>
    </w:p>
    <w:p>
      <w:pPr>
        <w:pStyle w:val="ListParagraph"/>
        <w:numPr>
          <w:ilvl w:val="0"/>
          <w:numId w:val="2"/>
        </w:numPr>
        <w:spacing w:after="60"/>
      </w:pPr>
      <w:r>
        <w:rPr>
          <w:sz w:val="21"/>
          <w:szCs w:val="21"/>
        </w:rPr>
        <w:t xml:space="preserve">Server-authoritative scoring — points are calculated on the server and never trusted from the client.</w:t>
      </w:r>
    </w:p>
    <w:p>
      <w:pPr>
        <w:pStyle w:val="ListParagraph"/>
        <w:numPr>
          <w:ilvl w:val="0"/>
          <w:numId w:val="2"/>
        </w:numPr>
        <w:spacing w:after="60"/>
      </w:pPr>
      <w:r>
        <w:rPr>
          <w:sz w:val="21"/>
          <w:szCs w:val="21"/>
        </w:rPr>
        <w:t xml:space="preserve">Host-controlled session flow (lobby, question, reveal, finish) with configurable timing, answer randomisation and auto-advance.</w:t>
      </w:r>
    </w:p>
    <w:p>
      <w:pPr>
        <w:pStyle w:val="ListParagraph"/>
        <w:numPr>
          <w:ilvl w:val="0"/>
          <w:numId w:val="2"/>
        </w:numPr>
        <w:spacing w:after="60"/>
      </w:pPr>
      <w:r>
        <w:rPr>
          <w:sz w:val="21"/>
          <w:szCs w:val="21"/>
        </w:rPr>
        <w:t xml:space="preserve">Live leaderboard, podium and post-session result analysis by division.</w:t>
      </w:r>
    </w:p>
    <w:p>
      <w:pPr>
        <w:pStyle w:val="Heading3"/>
        <w:spacing w:after="80" w:before="200"/>
      </w:pPr>
      <w:r>
        <w:rPr>
          <w:b/>
          <w:bCs/>
          <w:color w:val="0B1F3A"/>
          <w:sz w:val="22"/>
          <w:szCs w:val="22"/>
        </w:rPr>
        <w:t xml:space="preserve">M6 — Administrative portal and governance</w:t>
      </w:r>
    </w:p>
    <w:p>
      <w:pPr>
        <w:pStyle w:val="ListParagraph"/>
        <w:numPr>
          <w:ilvl w:val="0"/>
          <w:numId w:val="2"/>
        </w:numPr>
        <w:spacing w:after="60"/>
      </w:pPr>
      <w:r>
        <w:rPr>
          <w:sz w:val="21"/>
          <w:szCs w:val="21"/>
        </w:rPr>
        <w:t xml:space="preserve">Role-based access control across super-administrator, administrator, editor and viewer levels.</w:t>
      </w:r>
    </w:p>
    <w:p>
      <w:pPr>
        <w:pStyle w:val="ListParagraph"/>
        <w:numPr>
          <w:ilvl w:val="0"/>
          <w:numId w:val="2"/>
        </w:numPr>
        <w:spacing w:after="60"/>
      </w:pPr>
      <w:r>
        <w:rPr>
          <w:sz w:val="21"/>
          <w:szCs w:val="21"/>
        </w:rPr>
        <w:t xml:space="preserve">Module-level write permissions, so an administrator can be restricted to a single division or function.</w:t>
      </w:r>
    </w:p>
    <w:p>
      <w:pPr>
        <w:pStyle w:val="ListParagraph"/>
        <w:numPr>
          <w:ilvl w:val="0"/>
          <w:numId w:val="2"/>
        </w:numPr>
        <w:spacing w:after="60"/>
      </w:pPr>
      <w:r>
        <w:rPr>
          <w:sz w:val="21"/>
          <w:szCs w:val="21"/>
        </w:rPr>
        <w:t xml:space="preserve">Immutable audit log of every administrative action, retained server-side.</w:t>
      </w:r>
    </w:p>
    <w:p>
      <w:pPr>
        <w:pStyle w:val="ListParagraph"/>
        <w:numPr>
          <w:ilvl w:val="0"/>
          <w:numId w:val="2"/>
        </w:numPr>
        <w:spacing w:after="60"/>
      </w:pPr>
      <w:r>
        <w:rPr>
          <w:sz w:val="21"/>
          <w:szCs w:val="21"/>
        </w:rPr>
        <w:t xml:space="preserve">Management report studio with export to Excel for offline review.</w:t>
      </w:r>
    </w:p>
    <w:p>
      <w:pPr>
        <w:pStyle w:val="ListParagraph"/>
        <w:numPr>
          <w:ilvl w:val="0"/>
          <w:numId w:val="2"/>
        </w:numPr>
        <w:spacing w:after="60"/>
      </w:pPr>
      <w:r>
        <w:rPr>
          <w:sz w:val="21"/>
          <w:szCs w:val="21"/>
        </w:rPr>
        <w:t xml:space="preserve">Undo capability for recent administrative data changes.</w:t>
      </w:r>
    </w:p>
    <w:p>
      <w:pPr>
        <w:pStyle w:val="Heading3"/>
        <w:spacing w:after="80" w:before="200"/>
      </w:pPr>
      <w:r>
        <w:rPr>
          <w:b/>
          <w:bCs/>
          <w:color w:val="0B1F3A"/>
          <w:sz w:val="22"/>
          <w:szCs w:val="22"/>
        </w:rPr>
        <w:t xml:space="preserve">M7 — Voice of the customer and internal feedback</w:t>
      </w:r>
    </w:p>
    <w:p>
      <w:pPr>
        <w:pStyle w:val="ListParagraph"/>
        <w:numPr>
          <w:ilvl w:val="0"/>
          <w:numId w:val="2"/>
        </w:numPr>
        <w:spacing w:after="60"/>
      </w:pPr>
      <w:r>
        <w:rPr>
          <w:sz w:val="21"/>
          <w:szCs w:val="21"/>
        </w:rPr>
        <w:t xml:space="preserve">Samsung Academy training survey with analytics dashboard and filtered export.</w:t>
      </w:r>
    </w:p>
    <w:p>
      <w:pPr>
        <w:pStyle w:val="ListParagraph"/>
        <w:numPr>
          <w:ilvl w:val="0"/>
          <w:numId w:val="2"/>
        </w:numPr>
        <w:spacing w:after="60"/>
      </w:pPr>
      <w:r>
        <w:rPr>
          <w:sz w:val="21"/>
          <w:szCs w:val="21"/>
        </w:rPr>
        <w:t xml:space="preserve">Arabic engineer feedback form for internal improvement suggestions.</w:t>
      </w:r>
    </w:p>
    <w:p>
      <w:pPr>
        <w:pStyle w:val="ListParagraph"/>
        <w:numPr>
          <w:ilvl w:val="0"/>
          <w:numId w:val="2"/>
        </w:numPr>
        <w:spacing w:after="60"/>
      </w:pPr>
      <w:r>
        <w:rPr>
          <w:sz w:val="21"/>
          <w:szCs w:val="21"/>
        </w:rPr>
        <w:t xml:space="preserve">Administrator-controlled visibility switches for each public form.</w:t>
      </w:r>
    </w:p>
    <w:p>
      <w:pPr>
        <w:pStyle w:val="Heading3"/>
        <w:spacing w:after="80" w:before="200"/>
      </w:pPr>
      <w:r>
        <w:rPr>
          <w:b/>
          <w:bCs/>
          <w:color w:val="0B1F3A"/>
          <w:sz w:val="22"/>
          <w:szCs w:val="22"/>
        </w:rPr>
        <w:t xml:space="preserve">M8 — Mobile application experience</w:t>
      </w:r>
    </w:p>
    <w:p>
      <w:pPr>
        <w:pStyle w:val="ListParagraph"/>
        <w:numPr>
          <w:ilvl w:val="0"/>
          <w:numId w:val="2"/>
        </w:numPr>
        <w:spacing w:after="60"/>
      </w:pPr>
      <w:r>
        <w:rPr>
          <w:sz w:val="21"/>
          <w:szCs w:val="21"/>
        </w:rPr>
        <w:t xml:space="preserve">Installable to the mobile home screen as a standalone application (progressive web application).</w:t>
      </w:r>
    </w:p>
    <w:p>
      <w:pPr>
        <w:pStyle w:val="ListParagraph"/>
        <w:numPr>
          <w:ilvl w:val="0"/>
          <w:numId w:val="2"/>
        </w:numPr>
        <w:spacing w:after="60"/>
      </w:pPr>
      <w:r>
        <w:rPr>
          <w:sz w:val="21"/>
          <w:szCs w:val="21"/>
        </w:rPr>
        <w:t xml:space="preserve">Notification capability so engineers can be alerted to new results and technical bulletins.</w:t>
      </w:r>
    </w:p>
    <w:p>
      <w:pPr>
        <w:pStyle w:val="ListParagraph"/>
        <w:numPr>
          <w:ilvl w:val="0"/>
          <w:numId w:val="2"/>
        </w:numPr>
        <w:spacing w:after="60"/>
      </w:pPr>
      <w:r>
        <w:rPr>
          <w:sz w:val="21"/>
          <w:szCs w:val="21"/>
        </w:rPr>
        <w:t xml:space="preserve">Optimised for field use on mobile devices over the internal network.</w:t>
      </w:r>
    </w:p>
    <w:p>
      <w:pPr>
        <w:pStyle w:val="Heading2"/>
        <w:spacing w:after="110" w:before="280"/>
      </w:pPr>
      <w:r>
        <w:rPr>
          <w:b/>
          <w:bCs/>
          <w:color w:val="1428A0"/>
          <w:sz w:val="25"/>
          <w:szCs w:val="25"/>
        </w:rPr>
        <w:t xml:space="preserve">4.3 Delivery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4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Measure</w:t>
            </w:r>
          </w:p>
        </w:tc>
        <w:tc>
          <w:tcPr>
            <w:tcW w:type="dxa" w:w="596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Value</w:t>
            </w:r>
          </w:p>
        </w:tc>
      </w:tr>
      <w:tr>
        <w:tc>
          <w:tcPr>
            <w:tcW w:type="dxa" w:w="3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Production code</w:t>
            </w:r>
          </w:p>
        </w:tc>
        <w:tc>
          <w:tcPr>
            <w:tcW w:type="dxa" w:w="59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Approximately 39,700 lines (JavaScript / JSX)</w:t>
            </w:r>
          </w:p>
        </w:tc>
      </w:tr>
      <w:tr>
        <w:tc>
          <w:tcPr>
            <w:tcW w:type="dxa" w:w="3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Application modules</w:t>
            </w:r>
          </w:p>
        </w:tc>
        <w:tc>
          <w:tcPr>
            <w:tcW w:type="dxa" w:w="59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193 code modules under the application source tree</w:t>
            </w:r>
          </w:p>
        </w:tc>
      </w:tr>
      <w:tr>
        <w:tc>
          <w:tcPr>
            <w:tcW w:type="dxa" w:w="3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User interface components</w:t>
            </w:r>
          </w:p>
        </w:tc>
        <w:tc>
          <w:tcPr>
            <w:tcW w:type="dxa" w:w="59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41 dedicated components</w:t>
            </w:r>
          </w:p>
        </w:tc>
      </w:tr>
      <w:tr>
        <w:tc>
          <w:tcPr>
            <w:tcW w:type="dxa" w:w="3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Secured server endpoints</w:t>
            </w:r>
          </w:p>
        </w:tc>
        <w:tc>
          <w:tcPr>
            <w:tcW w:type="dxa" w:w="59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19 server-side API routes</w:t>
            </w:r>
          </w:p>
        </w:tc>
      </w:tr>
      <w:tr>
        <w:tc>
          <w:tcPr>
            <w:tcW w:type="dxa" w:w="3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Controlled releases</w:t>
            </w:r>
          </w:p>
        </w:tc>
        <w:tc>
          <w:tcPr>
            <w:tcW w:type="dxa" w:w="59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160 version-controlled commits</w:t>
            </w:r>
          </w:p>
        </w:tc>
      </w:tr>
      <w:tr>
        <w:tc>
          <w:tcPr>
            <w:tcW w:type="dxa" w:w="3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Delivery period</w:t>
            </w:r>
          </w:p>
        </w:tc>
        <w:tc>
          <w:tcPr>
            <w:tcW w:type="dxa" w:w="59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February 2026 – September 2026 (7 months)</w:t>
            </w:r>
          </w:p>
        </w:tc>
      </w:tr>
      <w:tr>
        <w:tc>
          <w:tcPr>
            <w:tcW w:type="dxa" w:w="3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Development resource</w:t>
            </w:r>
          </w:p>
        </w:tc>
        <w:tc>
          <w:tcPr>
            <w:tcW w:type="dxa" w:w="59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One business owner, supported by approved AI assistants</w:t>
            </w:r>
          </w:p>
        </w:tc>
      </w:tr>
      <w:tr>
        <w:tc>
          <w:tcPr>
            <w:tcW w:type="dxa" w:w="3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External vendor cost</w:t>
            </w:r>
          </w:p>
        </w:tc>
        <w:tc>
          <w:tcPr>
            <w:tcW w:type="dxa" w:w="59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None</w:t>
            </w:r>
          </w:p>
        </w:tc>
      </w:tr>
      <w:tr>
        <w:tc>
          <w:tcPr>
            <w:tcW w:type="dxa" w:w="3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Software licence cost</w:t>
            </w:r>
          </w:p>
        </w:tc>
        <w:tc>
          <w:tcPr>
            <w:tcW w:type="dxa" w:w="59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None</w:t>
            </w:r>
          </w:p>
        </w:tc>
      </w:tr>
    </w:tbl>
    <w:p>
      <w:pPr>
        <w:pageBreakBefore/>
      </w:pPr>
    </w:p>
    <w:p>
      <w:pPr>
        <w:pStyle w:val="Heading1"/>
        <w:pBdr>
          <w:bottom w:val="single" w:color="1428A0" w:sz="6" w:space="6"/>
        </w:pBdr>
        <w:spacing w:after="170" w:before="380"/>
      </w:pPr>
      <w:r>
        <w:rPr>
          <w:b/>
          <w:bCs/>
          <w:color w:val="0B1F3A"/>
          <w:sz w:val="30"/>
          <w:szCs w:val="30"/>
        </w:rPr>
        <w:t xml:space="preserve">5. AI and Data Utilisation Plan</w:t>
      </w:r>
    </w:p>
    <w:p>
      <w:pPr>
        <w:spacing w:after="130"/>
        <w:jc w:val="both"/>
      </w:pPr>
      <w:r>
        <w:rPr>
          <w:b w:val="false"/>
          <w:bCs w:val="false"/>
          <w:i w:val="false"/>
          <w:iCs w:val="false"/>
          <w:color w:val="1A1A1A"/>
          <w:sz w:val="22"/>
          <w:szCs w:val="22"/>
        </w:rPr>
        <w:t xml:space="preserve">AI is applied in SCORA at two clearly separated levels. This separation is deliberate and is the foundation of the project’s data-governance position.</w:t>
      </w:r>
    </w:p>
    <w:p>
      <w:pPr>
        <w:pStyle w:val="Heading2"/>
        <w:spacing w:after="110" w:before="280"/>
      </w:pPr>
      <w:r>
        <w:rPr>
          <w:b/>
          <w:bCs/>
          <w:color w:val="1428A0"/>
          <w:sz w:val="25"/>
          <w:szCs w:val="25"/>
        </w:rPr>
        <w:t xml:space="preserve">5.1 Level 1 — AI as the development engine (build time)</w:t>
      </w:r>
    </w:p>
    <w:p>
      <w:pPr>
        <w:spacing w:after="130"/>
        <w:jc w:val="both"/>
      </w:pPr>
      <w:r>
        <w:rPr>
          <w:b w:val="false"/>
          <w:bCs w:val="false"/>
          <w:i w:val="false"/>
          <w:iCs w:val="false"/>
          <w:color w:val="1A1A1A"/>
          <w:sz w:val="22"/>
          <w:szCs w:val="22"/>
        </w:rPr>
        <w:t xml:space="preserve">The entire application was authored using Samsung-approved AI assistants. This is the central AX contribution: AI did not add a feature to an existing system; AI made the existence of the system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Approved tool</w:t>
            </w:r>
          </w:p>
        </w:tc>
        <w:tc>
          <w:tcPr>
            <w:tcW w:type="dxa" w:w="47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Applied to</w:t>
            </w:r>
          </w:p>
        </w:tc>
        <w:tc>
          <w:tcPr>
            <w:tcW w:type="dxa" w:w="316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Effect</w:t>
            </w:r>
          </w:p>
        </w:tc>
      </w:tr>
      <w:tr>
        <w:tc>
          <w:tcPr>
            <w:tcW w:type="dxa" w:w="15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Claude</w:t>
            </w:r>
          </w:p>
        </w:tc>
        <w:tc>
          <w:tcPr>
            <w:tcW w:type="dxa" w:w="4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Primary application development: architecture, module implementation, refactoring, defect diagnosis, security review of data-access rules.</w:t>
            </w:r>
          </w:p>
        </w:tc>
        <w:tc>
          <w:tcPr>
            <w:tcW w:type="dxa" w:w="31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Bulk of the production codebase; sustained delivery velocity across 7 months.</w:t>
            </w:r>
          </w:p>
        </w:tc>
      </w:tr>
      <w:tr>
        <w:tc>
          <w:tcPr>
            <w:tcW w:type="dxa" w:w="15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ChatGPT</w:t>
            </w:r>
          </w:p>
        </w:tc>
        <w:tc>
          <w:tcPr>
            <w:tcW w:type="dxa" w:w="47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Solution design exploration, algorithm formulation for scoring and ranking, documentation drafting.</w:t>
            </w:r>
          </w:p>
        </w:tc>
        <w:tc>
          <w:tcPr>
            <w:tcW w:type="dxa" w:w="31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Faster design convergence; reduced rework.</w:t>
            </w:r>
          </w:p>
        </w:tc>
      </w:tr>
      <w:tr>
        <w:tc>
          <w:tcPr>
            <w:tcW w:type="dxa" w:w="15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Gemini</w:t>
            </w:r>
          </w:p>
        </w:tc>
        <w:tc>
          <w:tcPr>
            <w:tcW w:type="dxa" w:w="4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Content structuring for the knowledge base, bilingual (English / Arabic) phrasing review, question-bank drafting.</w:t>
            </w:r>
          </w:p>
        </w:tc>
        <w:tc>
          <w:tcPr>
            <w:tcW w:type="dxa" w:w="31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Consistent bilingual quality without external translation cost.</w:t>
            </w:r>
          </w:p>
        </w:tc>
      </w:tr>
    </w:tbl>
    <w:p>
      <w:pPr>
        <w:spacing w:after="120"/>
      </w:pPr>
      <w:r>
        <w:t xml:space="preserve"/>
      </w:r>
    </w:p>
    <w:p>
      <w:pPr>
        <w:spacing w:after="110"/>
        <w:jc w:val="both"/>
      </w:pPr>
      <w:r>
        <w:rPr>
          <w:b/>
          <w:bCs/>
          <w:color w:val="0B1F3A"/>
          <w:sz w:val="22"/>
          <w:szCs w:val="22"/>
        </w:rPr>
        <w:t xml:space="preserve">Governance statement:  </w:t>
      </w:r>
      <w:r>
        <w:rPr>
          <w:color w:val="1A1A1A"/>
          <w:sz w:val="22"/>
          <w:szCs w:val="22"/>
        </w:rPr>
        <w:t xml:space="preserve">No AI platform outside the approved list was used at any stage. No external development contractor was engaged. All generated code was reviewed and tested by the project owner before release.</w:t>
      </w:r>
    </w:p>
    <w:p>
      <w:pPr>
        <w:pStyle w:val="Heading2"/>
        <w:spacing w:after="110" w:before="280"/>
      </w:pPr>
      <w:r>
        <w:rPr>
          <w:b/>
          <w:bCs/>
          <w:color w:val="1428A0"/>
          <w:sz w:val="25"/>
          <w:szCs w:val="25"/>
        </w:rPr>
        <w:t xml:space="preserve">5.2 Level 2 — AI in the running application (runtime)</w:t>
      </w:r>
    </w:p>
    <w:p>
      <w:pPr>
        <w:spacing w:after="130"/>
        <w:jc w:val="both"/>
      </w:pPr>
      <w:r>
        <w:rPr>
          <w:b w:val="false"/>
          <w:bCs w:val="false"/>
          <w:i w:val="false"/>
          <w:iCs w:val="false"/>
          <w:color w:val="1A1A1A"/>
          <w:sz w:val="22"/>
          <w:szCs w:val="22"/>
        </w:rPr>
        <w:t xml:space="preserve">The in-application assistant (GoGo) operates on a deterministic, retrieval-based model over a curated internal knowledge base. It does not send employee questions, evaluation data or customer information to an external large-language-model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Runtime capability</w:t>
            </w:r>
          </w:p>
        </w:tc>
        <w:tc>
          <w:tcPr>
            <w:tcW w:type="dxa" w:w="40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Implementation</w:t>
            </w:r>
          </w:p>
        </w:tc>
        <w:tc>
          <w:tcPr>
            <w:tcW w:type="dxa" w:w="326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Data exposure</w:t>
            </w:r>
          </w:p>
        </w:tc>
      </w:tr>
      <w:tr>
        <w:tc>
          <w:tcPr>
            <w:tcW w:type="dxa" w:w="21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Knowledge answering</w:t>
            </w:r>
          </w:p>
        </w:tc>
        <w:tc>
          <w:tcPr>
            <w:tcW w:type="dxa" w:w="4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Deterministic retrieval and ranking over the internally curated knowledge base and KPI definition set.</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None. Processing remains inside the Samsung-controlled environment.</w:t>
            </w:r>
          </w:p>
        </w:tc>
      </w:tr>
      <w:tr>
        <w:tc>
          <w:tcPr>
            <w:tcW w:type="dxa" w:w="21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Guided conversation</w:t>
            </w:r>
          </w:p>
        </w:tc>
        <w:tc>
          <w:tcPr>
            <w:tcW w:type="dxa" w:w="4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Predefined intent routing and guided menu options authored by the business owner.</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None.</w:t>
            </w:r>
          </w:p>
        </w:tc>
      </w:tr>
      <w:tr>
        <w:tc>
          <w:tcPr>
            <w:tcW w:type="dxa" w:w="21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Arabic and English language support</w:t>
            </w:r>
          </w:p>
        </w:tc>
        <w:tc>
          <w:tcPr>
            <w:tcW w:type="dxa" w:w="4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Curated bilingual content and a controlled Egyptian-Arabic phrasing layer.</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None.</w:t>
            </w:r>
          </w:p>
        </w:tc>
      </w:tr>
      <w:tr>
        <w:tc>
          <w:tcPr>
            <w:tcW w:type="dxa" w:w="21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Speech output</w:t>
            </w:r>
          </w:p>
        </w:tc>
        <w:tc>
          <w:tcPr>
            <w:tcW w:type="dxa" w:w="4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Neural text-to-speech applied to already-approved internal answer text only.</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Answer text only; no personal or evaluation data.</w:t>
            </w:r>
          </w:p>
        </w:tc>
      </w:tr>
      <w:tr>
        <w:tc>
          <w:tcPr>
            <w:tcW w:type="dxa" w:w="21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Speech input</w:t>
            </w:r>
          </w:p>
        </w:tc>
        <w:tc>
          <w:tcPr>
            <w:tcW w:type="dxa" w:w="4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Device-native speech recognition in the browser.</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Handled by the user’s own device.</w:t>
            </w:r>
          </w:p>
        </w:tc>
      </w:tr>
      <w:tr>
        <w:tc>
          <w:tcPr>
            <w:tcW w:type="dxa" w:w="21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External LLM inference</w:t>
            </w:r>
          </w:p>
        </w:tc>
        <w:tc>
          <w:tcPr>
            <w:tcW w:type="dxa" w:w="4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Deliberately disabled in the running application.</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Zero. No employee or customer record reaches an external model.</w:t>
            </w:r>
          </w:p>
        </w:tc>
      </w:tr>
    </w:tbl>
    <w:p>
      <w:pPr>
        <w:spacing w:after="120"/>
      </w:pPr>
      <w:r>
        <w:t xml:space="preserve"/>
      </w:r>
    </w:p>
    <w:p>
      <w:pPr>
        <w:pBdr>
          <w:top w:val="single" w:color="1428A0" w:sz="4"/>
          <w:bottom w:val="single" w:color="1428A0" w:sz="4"/>
          <w:left w:val="single" w:color="1428A0" w:sz="18"/>
          <w:right w:val="single" w:color="1428A0" w:sz="4"/>
        </w:pBdr>
        <w:shd w:fill="F2F5FA" w:val="clear"/>
        <w:spacing w:after="170" w:before="80"/>
      </w:pPr>
      <w:r>
        <w:rPr>
          <w:b/>
          <w:bCs/>
          <w:color w:val="0B1F3A"/>
          <w:sz w:val="23"/>
          <w:szCs w:val="23"/>
        </w:rPr>
        <w:t xml:space="preserve">Compliance position: employee evaluation data and customer information never leave the Samsung-controlled environment. Runtime answers are drawn from verified internal content, which also makes every answer auditable and attributable — a property that open generative answering cannot provide.</w:t>
      </w:r>
    </w:p>
    <w:p>
      <w:pPr>
        <w:pStyle w:val="Heading2"/>
        <w:spacing w:after="110" w:before="280"/>
      </w:pPr>
      <w:r>
        <w:rPr>
          <w:b/>
          <w:bCs/>
          <w:color w:val="1428A0"/>
          <w:sz w:val="25"/>
          <w:szCs w:val="25"/>
        </w:rPr>
        <w:t xml:space="preserve">5.3 Data utilisation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Data domain</w:t>
            </w:r>
          </w:p>
        </w:tc>
        <w:tc>
          <w:tcPr>
            <w:tcW w:type="dxa" w:w="20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Source</w:t>
            </w:r>
          </w:p>
        </w:tc>
        <w:tc>
          <w:tcPr>
            <w:tcW w:type="dxa" w:w="283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Purpose</w:t>
            </w:r>
          </w:p>
        </w:tc>
        <w:tc>
          <w:tcPr>
            <w:tcW w:type="dxa" w:w="263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Access control</w:t>
            </w:r>
          </w:p>
        </w:tc>
      </w:tr>
      <w:tr>
        <w:tc>
          <w:tcPr>
            <w:tcW w:type="dxa" w:w="1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Engineer evaluation results</w:t>
            </w:r>
          </w:p>
        </w:tc>
        <w:tc>
          <w:tcPr>
            <w:tcW w:type="dxa" w:w="2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Official evaluation workbook, uploaded by the administrator.</w:t>
            </w:r>
          </w:p>
        </w:tc>
        <w:tc>
          <w:tcPr>
            <w:tcW w:type="dxa" w:w="283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Individual disclosure to the engineer; ranking; management reporting.</w:t>
            </w:r>
          </w:p>
        </w:tc>
        <w:tc>
          <w:tcPr>
            <w:tcW w:type="dxa" w:w="263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Engineer sees own record only; administrators by division and role.</w:t>
            </w:r>
          </w:p>
        </w:tc>
      </w:tr>
      <w:tr>
        <w:tc>
          <w:tcPr>
            <w:tcW w:type="dxa" w:w="19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Service KPI components</w:t>
            </w:r>
          </w:p>
        </w:tc>
        <w:tc>
          <w:tcPr>
            <w:tcW w:type="dxa" w:w="2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Evaluation workbook.</w:t>
            </w:r>
          </w:p>
        </w:tc>
        <w:tc>
          <w:tcPr>
            <w:tcW w:type="dxa" w:w="283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KPI-level diagnosis and gap identification.</w:t>
            </w:r>
          </w:p>
        </w:tc>
        <w:tc>
          <w:tcPr>
            <w:tcW w:type="dxa" w:w="263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Same as evaluation results.</w:t>
            </w:r>
          </w:p>
        </w:tc>
      </w:tr>
      <w:tr>
        <w:tc>
          <w:tcPr>
            <w:tcW w:type="dxa" w:w="1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Quality audit (PQA) records</w:t>
            </w:r>
          </w:p>
        </w:tc>
        <w:tc>
          <w:tcPr>
            <w:tcW w:type="dxa" w:w="2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Audit programme submissions.</w:t>
            </w:r>
          </w:p>
        </w:tc>
        <w:tc>
          <w:tcPr>
            <w:tcW w:type="dxa" w:w="283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Partner and service-centre quality scoring.</w:t>
            </w:r>
          </w:p>
        </w:tc>
        <w:tc>
          <w:tcPr>
            <w:tcW w:type="dxa" w:w="263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Administrative access only.</w:t>
            </w:r>
          </w:p>
        </w:tc>
      </w:tr>
      <w:tr>
        <w:tc>
          <w:tcPr>
            <w:tcW w:type="dxa" w:w="19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Knowledge base content</w:t>
            </w:r>
          </w:p>
        </w:tc>
        <w:tc>
          <w:tcPr>
            <w:tcW w:type="dxa" w:w="2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Authored internally and published by the administrator.</w:t>
            </w:r>
          </w:p>
        </w:tc>
        <w:tc>
          <w:tcPr>
            <w:tcW w:type="dxa" w:w="283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Technical enablement of engineers and front-desk staff.</w:t>
            </w:r>
          </w:p>
        </w:tc>
        <w:tc>
          <w:tcPr>
            <w:tcW w:type="dxa" w:w="263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Read access for authenticated staff; publication restricted to editors and above.</w:t>
            </w:r>
          </w:p>
        </w:tc>
      </w:tr>
      <w:tr>
        <w:tc>
          <w:tcPr>
            <w:tcW w:type="dxa" w:w="1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Competency quiz results</w:t>
            </w:r>
          </w:p>
        </w:tc>
        <w:tc>
          <w:tcPr>
            <w:tcW w:type="dxa" w:w="2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Generated by SCORA Challenge sessions.</w:t>
            </w:r>
          </w:p>
        </w:tc>
        <w:tc>
          <w:tcPr>
            <w:tcW w:type="dxa" w:w="283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Measurement of knowledge retention and training effectiveness.</w:t>
            </w:r>
          </w:p>
        </w:tc>
        <w:tc>
          <w:tcPr>
            <w:tcW w:type="dxa" w:w="263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Scoring computed server-side; results visible to administrators.</w:t>
            </w:r>
          </w:p>
        </w:tc>
      </w:tr>
      <w:tr>
        <w:tc>
          <w:tcPr>
            <w:tcW w:type="dxa" w:w="19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Survey and feedback responses</w:t>
            </w:r>
          </w:p>
        </w:tc>
        <w:tc>
          <w:tcPr>
            <w:tcW w:type="dxa" w:w="2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Voluntary submissions by staff and training attendees.</w:t>
            </w:r>
          </w:p>
        </w:tc>
        <w:tc>
          <w:tcPr>
            <w:tcW w:type="dxa" w:w="283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Training quality improvement; voice of the internal customer.</w:t>
            </w:r>
          </w:p>
        </w:tc>
        <w:tc>
          <w:tcPr>
            <w:tcW w:type="dxa" w:w="263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Aggregated analytics for administrators.</w:t>
            </w:r>
          </w:p>
        </w:tc>
      </w:tr>
      <w:tr>
        <w:tc>
          <w:tcPr>
            <w:tcW w:type="dxa" w:w="19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Usage analytics</w:t>
            </w:r>
          </w:p>
        </w:tc>
        <w:tc>
          <w:tcPr>
            <w:tcW w:type="dxa" w:w="2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Application interaction events.</w:t>
            </w:r>
          </w:p>
        </w:tc>
        <w:tc>
          <w:tcPr>
            <w:tcW w:type="dxa" w:w="283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Adoption measurement and engagement funnel analysis.</w:t>
            </w:r>
          </w:p>
        </w:tc>
        <w:tc>
          <w:tcPr>
            <w:tcW w:type="dxa" w:w="263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Administrative reporting only.</w:t>
            </w:r>
          </w:p>
        </w:tc>
      </w:tr>
    </w:tbl>
    <w:p>
      <w:pPr>
        <w:pStyle w:val="Heading2"/>
        <w:spacing w:after="110" w:before="280"/>
      </w:pPr>
      <w:r>
        <w:rPr>
          <w:b/>
          <w:bCs/>
          <w:color w:val="1428A0"/>
          <w:sz w:val="25"/>
          <w:szCs w:val="25"/>
        </w:rPr>
        <w:t xml:space="preserve">5.4 Security and access governance</w:t>
      </w:r>
    </w:p>
    <w:p>
      <w:pPr>
        <w:pStyle w:val="ListParagraph"/>
        <w:numPr>
          <w:ilvl w:val="0"/>
          <w:numId w:val="2"/>
        </w:numPr>
        <w:spacing w:after="60"/>
      </w:pPr>
      <w:r>
        <w:rPr>
          <w:sz w:val="21"/>
          <w:szCs w:val="21"/>
        </w:rPr>
        <w:t xml:space="preserve">Authentication is enforced through Samsung Firebase Authentication for both staff and administrators; legacy password mechanisms have been removed.</w:t>
      </w:r>
    </w:p>
    <w:p>
      <w:pPr>
        <w:pStyle w:val="ListParagraph"/>
        <w:numPr>
          <w:ilvl w:val="0"/>
          <w:numId w:val="2"/>
        </w:numPr>
        <w:spacing w:after="60"/>
      </w:pPr>
      <w:r>
        <w:rPr>
          <w:sz w:val="21"/>
          <w:szCs w:val="21"/>
        </w:rPr>
        <w:t xml:space="preserve">Server-side authorisation validates every privileged request against the caller’s verified identity and role before execution.</w:t>
      </w:r>
    </w:p>
    <w:p>
      <w:pPr>
        <w:pStyle w:val="ListParagraph"/>
        <w:numPr>
          <w:ilvl w:val="0"/>
          <w:numId w:val="2"/>
        </w:numPr>
        <w:spacing w:after="60"/>
      </w:pPr>
      <w:r>
        <w:rPr>
          <w:sz w:val="21"/>
          <w:szCs w:val="21"/>
        </w:rPr>
        <w:t xml:space="preserve">Database access follows a deny-by-default model, with each data domain explicitly granted only the access it requires. A small number of migration-era exceptions remain from the authentication cutover and are tracked for closure under Phase 1.</w:t>
      </w:r>
    </w:p>
    <w:p>
      <w:pPr>
        <w:pStyle w:val="ListParagraph"/>
        <w:numPr>
          <w:ilvl w:val="0"/>
          <w:numId w:val="2"/>
        </w:numPr>
        <w:spacing w:after="60"/>
      </w:pPr>
      <w:r>
        <w:rPr>
          <w:sz w:val="21"/>
          <w:szCs w:val="21"/>
        </w:rPr>
        <w:t xml:space="preserve">Score-bearing operations in SCORA Challenge are computed server-side only, so client tampering cannot alter results.</w:t>
      </w:r>
    </w:p>
    <w:p>
      <w:pPr>
        <w:pStyle w:val="ListParagraph"/>
        <w:numPr>
          <w:ilvl w:val="0"/>
          <w:numId w:val="2"/>
        </w:numPr>
        <w:spacing w:after="60"/>
      </w:pPr>
      <w:r>
        <w:rPr>
          <w:sz w:val="21"/>
          <w:szCs w:val="21"/>
        </w:rPr>
        <w:t xml:space="preserve">Rate limiting is applied to privileged endpoints to prevent abuse.</w:t>
      </w:r>
    </w:p>
    <w:p>
      <w:pPr>
        <w:pStyle w:val="ListParagraph"/>
        <w:numPr>
          <w:ilvl w:val="0"/>
          <w:numId w:val="2"/>
        </w:numPr>
        <w:spacing w:after="60"/>
      </w:pPr>
      <w:r>
        <w:rPr>
          <w:sz w:val="21"/>
          <w:szCs w:val="21"/>
        </w:rPr>
        <w:t xml:space="preserve">Every administrative action is written to an immutable audit log that cannot be modified from the client.</w:t>
      </w:r>
    </w:p>
    <w:p>
      <w:pPr>
        <w:pStyle w:val="ListParagraph"/>
        <w:numPr>
          <w:ilvl w:val="0"/>
          <w:numId w:val="2"/>
        </w:numPr>
        <w:spacing w:after="60"/>
      </w:pPr>
      <w:r>
        <w:rPr>
          <w:sz w:val="21"/>
          <w:szCs w:val="21"/>
        </w:rPr>
        <w:t xml:space="preserve">No credential, service key or secret is exposed to the browser; server-only secrets are held outside the client bundle.</w:t>
      </w:r>
    </w:p>
    <w:p>
      <w:pPr>
        <w:pStyle w:val="Heading2"/>
        <w:spacing w:after="110" w:before="280"/>
      </w:pPr>
      <w:r>
        <w:rPr>
          <w:b/>
          <w:bCs/>
          <w:color w:val="1428A0"/>
          <w:sz w:val="25"/>
          <w:szCs w:val="25"/>
        </w:rPr>
        <w:t xml:space="preserve">5.5 Forward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1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Horizon</w:t>
            </w:r>
          </w:p>
        </w:tc>
        <w:tc>
          <w:tcPr>
            <w:tcW w:type="dxa" w:w="40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Planned action</w:t>
            </w:r>
          </w:p>
        </w:tc>
        <w:tc>
          <w:tcPr>
            <w:tcW w:type="dxa" w:w="326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Expected outcome</w:t>
            </w:r>
          </w:p>
        </w:tc>
      </w:tr>
      <w:tr>
        <w:tc>
          <w:tcPr>
            <w:tcW w:type="dxa" w:w="21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Phase 1 — Stabilise and adopt</w:t>
            </w:r>
          </w:p>
        </w:tc>
        <w:tc>
          <w:tcPr>
            <w:tcW w:type="dxa" w:w="4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Complete rollout to all evaluated engineers and front-desk staff; establish the disclosure rhythm each cycle; close the remaining migration-era database access exceptions.</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Full engineer awareness of individual results each cycle, on a fully hardened access model.</w:t>
            </w:r>
          </w:p>
        </w:tc>
      </w:tr>
      <w:tr>
        <w:tc>
          <w:tcPr>
            <w:tcW w:type="dxa" w:w="21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Phase 2 — Measure impact</w:t>
            </w:r>
          </w:p>
        </w:tc>
        <w:tc>
          <w:tcPr>
            <w:tcW w:type="dxa" w:w="4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Track KPI movement for engineers who consumed corrective knowledge against those who did not.</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Quantified evidence that transparency improves service KPIs.</w:t>
            </w:r>
          </w:p>
        </w:tc>
      </w:tr>
      <w:tr>
        <w:tc>
          <w:tcPr>
            <w:tcW w:type="dxa" w:w="21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Phase 3 — Predictive capability</w:t>
            </w:r>
          </w:p>
        </w:tc>
        <w:tc>
          <w:tcPr>
            <w:tcW w:type="dxa" w:w="4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Introduce trend-based early warning to flag engineers at risk of decline before the cycle closes.</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Preventive coaching instead of retrospective correction.</w:t>
            </w:r>
          </w:p>
        </w:tc>
      </w:tr>
      <w:tr>
        <w:tc>
          <w:tcPr>
            <w:tcW w:type="dxa" w:w="21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Phase 4 — Approved AI expansion</w:t>
            </w:r>
          </w:p>
        </w:tc>
        <w:tc>
          <w:tcPr>
            <w:tcW w:type="dxa" w:w="4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Introduce generative answering only through a Samsung-approved and RHQ-sanctioned endpoint, retaining the current no-egress principle.</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Broader assistant coverage with governance preserved.</w:t>
            </w:r>
          </w:p>
        </w:tc>
      </w:tr>
      <w:tr>
        <w:tc>
          <w:tcPr>
            <w:tcW w:type="dxa" w:w="21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Phase 5 — Regional replication</w:t>
            </w:r>
          </w:p>
        </w:tc>
        <w:tc>
          <w:tcPr>
            <w:tcW w:type="dxa" w:w="4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Package the platform for other subsidiaries; division and role models are already configuration-driven.</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Reuse of the investment across the region at negligible marginal cost.</w:t>
            </w:r>
          </w:p>
        </w:tc>
      </w:tr>
    </w:tbl>
    <w:p>
      <w:pPr>
        <w:pageBreakBefore/>
      </w:pPr>
    </w:p>
    <w:p>
      <w:pPr>
        <w:pStyle w:val="Heading1"/>
        <w:pBdr>
          <w:bottom w:val="single" w:color="1428A0" w:sz="6" w:space="6"/>
        </w:pBdr>
        <w:spacing w:after="170" w:before="380"/>
      </w:pPr>
      <w:r>
        <w:rPr>
          <w:b/>
          <w:bCs/>
          <w:color w:val="0B1F3A"/>
          <w:sz w:val="30"/>
          <w:szCs w:val="30"/>
        </w:rPr>
        <w:t xml:space="preserve">6. Business Impact and Return on Investment</w:t>
      </w:r>
    </w:p>
    <w:p>
      <w:pPr>
        <w:pStyle w:val="Heading2"/>
        <w:spacing w:after="110" w:before="280"/>
      </w:pPr>
      <w:r>
        <w:rPr>
          <w:b/>
          <w:bCs/>
          <w:color w:val="1428A0"/>
          <w:sz w:val="25"/>
          <w:szCs w:val="25"/>
        </w:rPr>
        <w:t xml:space="preserve">6.1 Cost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Cost element</w:t>
            </w:r>
          </w:p>
        </w:tc>
        <w:tc>
          <w:tcPr>
            <w:tcW w:type="dxa" w:w="318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Conventional delivery</w:t>
            </w:r>
          </w:p>
        </w:tc>
        <w:tc>
          <w:tcPr>
            <w:tcW w:type="dxa" w:w="318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SCORA (AI-assisted, internal)</w:t>
            </w:r>
          </w:p>
        </w:tc>
      </w:tr>
      <w:tr>
        <w:tc>
          <w:tcPr>
            <w:tcW w:type="dxa" w:w="3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External development vendor</w:t>
            </w:r>
          </w:p>
        </w:tc>
        <w:tc>
          <w:tcPr>
            <w:tcW w:type="dxa" w:w="31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Required</w:t>
            </w:r>
          </w:p>
        </w:tc>
        <w:tc>
          <w:tcPr>
            <w:tcW w:type="dxa" w:w="31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None</w:t>
            </w:r>
          </w:p>
        </w:tc>
      </w:tr>
      <w:tr>
        <w:tc>
          <w:tcPr>
            <w:tcW w:type="dxa" w:w="3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Software licence</w:t>
            </w:r>
          </w:p>
        </w:tc>
        <w:tc>
          <w:tcPr>
            <w:tcW w:type="dxa" w:w="31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Required</w:t>
            </w:r>
          </w:p>
        </w:tc>
        <w:tc>
          <w:tcPr>
            <w:tcW w:type="dxa" w:w="31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None</w:t>
            </w:r>
          </w:p>
        </w:tc>
      </w:tr>
      <w:tr>
        <w:tc>
          <w:tcPr>
            <w:tcW w:type="dxa" w:w="3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Additional infrastructure procurement</w:t>
            </w:r>
          </w:p>
        </w:tc>
        <w:tc>
          <w:tcPr>
            <w:tcW w:type="dxa" w:w="31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Typically required</w:t>
            </w:r>
          </w:p>
        </w:tc>
        <w:tc>
          <w:tcPr>
            <w:tcW w:type="dxa" w:w="31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None — internal network deployment</w:t>
            </w:r>
          </w:p>
        </w:tc>
      </w:tr>
      <w:tr>
        <w:tc>
          <w:tcPr>
            <w:tcW w:type="dxa" w:w="3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Translation and bilingual content service</w:t>
            </w:r>
          </w:p>
        </w:tc>
        <w:tc>
          <w:tcPr>
            <w:tcW w:type="dxa" w:w="31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Typically required</w:t>
            </w:r>
          </w:p>
        </w:tc>
        <w:tc>
          <w:tcPr>
            <w:tcW w:type="dxa" w:w="31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None — produced with approved AI tooling</w:t>
            </w:r>
          </w:p>
        </w:tc>
      </w:tr>
      <w:tr>
        <w:tc>
          <w:tcPr>
            <w:tcW w:type="dxa" w:w="30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Development resource</w:t>
            </w:r>
          </w:p>
        </w:tc>
        <w:tc>
          <w:tcPr>
            <w:tcW w:type="dxa" w:w="31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Multi-person project team</w:t>
            </w:r>
          </w:p>
        </w:tc>
        <w:tc>
          <w:tcPr>
            <w:tcW w:type="dxa" w:w="318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One business owner with AI assistance</w:t>
            </w:r>
          </w:p>
        </w:tc>
      </w:tr>
      <w:tr>
        <w:tc>
          <w:tcPr>
            <w:tcW w:type="dxa" w:w="30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Elapsed delivery time</w:t>
            </w:r>
          </w:p>
        </w:tc>
        <w:tc>
          <w:tcPr>
            <w:tcW w:type="dxa" w:w="31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Conventionally 12–18 months for equivalent scope</w:t>
            </w:r>
          </w:p>
        </w:tc>
        <w:tc>
          <w:tcPr>
            <w:tcW w:type="dxa" w:w="318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7 months</w:t>
            </w:r>
          </w:p>
        </w:tc>
      </w:tr>
    </w:tbl>
    <w:p>
      <w:pPr>
        <w:spacing w:after="140"/>
      </w:pPr>
      <w:r>
        <w:t xml:space="preserve"/>
      </w:r>
    </w:p>
    <w:p>
      <w:pPr>
        <w:pStyle w:val="Heading2"/>
        <w:spacing w:after="110" w:before="280"/>
      </w:pPr>
      <w:r>
        <w:rPr>
          <w:b/>
          <w:bCs/>
          <w:color w:val="1428A0"/>
          <w:sz w:val="25"/>
          <w:szCs w:val="25"/>
        </w:rPr>
        <w:t xml:space="preserve">6.2 Operational benefits</w:t>
      </w:r>
    </w:p>
    <w:p>
      <w:pPr>
        <w:pStyle w:val="ListParagraph"/>
        <w:numPr>
          <w:ilvl w:val="0"/>
          <w:numId w:val="2"/>
        </w:numPr>
        <w:spacing w:after="60"/>
      </w:pPr>
      <w:r>
        <w:rPr>
          <w:sz w:val="21"/>
          <w:szCs w:val="21"/>
        </w:rPr>
        <w:t xml:space="preserve">Engineers receive their own results, enabling self-directed improvement for the first time.</w:t>
      </w:r>
    </w:p>
    <w:p>
      <w:pPr>
        <w:pStyle w:val="ListParagraph"/>
        <w:numPr>
          <w:ilvl w:val="0"/>
          <w:numId w:val="2"/>
        </w:numPr>
        <w:spacing w:after="60"/>
      </w:pPr>
      <w:r>
        <w:rPr>
          <w:sz w:val="21"/>
          <w:szCs w:val="21"/>
        </w:rPr>
        <w:t xml:space="preserve">Improvement effort is directed at the specific KPI responsible for the shortfall, rather than applied generally.</w:t>
      </w:r>
    </w:p>
    <w:p>
      <w:pPr>
        <w:pStyle w:val="ListParagraph"/>
        <w:numPr>
          <w:ilvl w:val="0"/>
          <w:numId w:val="2"/>
        </w:numPr>
        <w:spacing w:after="60"/>
      </w:pPr>
      <w:r>
        <w:rPr>
          <w:sz w:val="21"/>
          <w:szCs w:val="21"/>
        </w:rPr>
        <w:t xml:space="preserve">Front-desk and technical knowledge is standardised, reducing inconsistent customer handling and protecting against knowledge loss on staff rotation.</w:t>
      </w:r>
    </w:p>
    <w:p>
      <w:pPr>
        <w:pStyle w:val="ListParagraph"/>
        <w:numPr>
          <w:ilvl w:val="0"/>
          <w:numId w:val="2"/>
        </w:numPr>
        <w:spacing w:after="60"/>
      </w:pPr>
      <w:r>
        <w:rPr>
          <w:sz w:val="21"/>
          <w:szCs w:val="21"/>
        </w:rPr>
        <w:t xml:space="preserve">Manual consolidation and distribution of evaluation results is eliminated as a recurring administrative task.</w:t>
      </w:r>
    </w:p>
    <w:p>
      <w:pPr>
        <w:pStyle w:val="ListParagraph"/>
        <w:numPr>
          <w:ilvl w:val="0"/>
          <w:numId w:val="2"/>
        </w:numPr>
        <w:spacing w:after="60"/>
      </w:pPr>
      <w:r>
        <w:rPr>
          <w:sz w:val="21"/>
          <w:szCs w:val="21"/>
        </w:rPr>
        <w:t xml:space="preserve">Training effectiveness becomes measurable through competency challenge results.</w:t>
      </w:r>
    </w:p>
    <w:p>
      <w:pPr>
        <w:pStyle w:val="ListParagraph"/>
        <w:numPr>
          <w:ilvl w:val="0"/>
          <w:numId w:val="2"/>
        </w:numPr>
        <w:spacing w:after="60"/>
      </w:pPr>
      <w:r>
        <w:rPr>
          <w:sz w:val="21"/>
          <w:szCs w:val="21"/>
        </w:rPr>
        <w:t xml:space="preserve">All administrative activity is auditable, strengthening internal control.</w:t>
      </w:r>
    </w:p>
    <w:p>
      <w:pPr>
        <w:spacing w:after="120"/>
      </w:pPr>
      <w:r>
        <w:t xml:space="preserve"/>
      </w:r>
    </w:p>
    <w:p>
      <w:pPr>
        <w:spacing w:after="120"/>
      </w:pPr>
      <w:r>
        <w:rPr>
          <w:b/>
          <w:bCs/>
          <w:color w:val="B32017"/>
          <w:sz w:val="19"/>
          <w:szCs w:val="19"/>
        </w:rPr>
        <w:t xml:space="preserve">DATA TO CONFIRM:  </w:t>
      </w:r>
      <w:r>
        <w:rPr>
          <w:i/>
          <w:iCs/>
          <w:color w:val="B32017"/>
          <w:sz w:val="20"/>
          <w:szCs w:val="20"/>
        </w:rPr>
        <w:t xml:space="preserve">Quantify this section before submission with: engineer adoption rate; man-hours saved per cycle; measured movement in the target service KPIs since rollout; number of published knowledge items and monthly readers; and number of challenge sessions delivered with average scores.</w:t>
      </w:r>
    </w:p>
    <w:p>
      <w:pPr>
        <w:pStyle w:val="Heading2"/>
        <w:spacing w:after="110" w:before="280"/>
      </w:pPr>
      <w:r>
        <w:rPr>
          <w:b/>
          <w:bCs/>
          <w:color w:val="1428A0"/>
          <w:sz w:val="25"/>
          <w:szCs w:val="25"/>
        </w:rPr>
        <w:t xml:space="preserve">6.3 Strategic value to RHQ</w:t>
      </w:r>
    </w:p>
    <w:p>
      <w:pPr>
        <w:pStyle w:val="ListParagraph"/>
        <w:numPr>
          <w:ilvl w:val="0"/>
          <w:numId w:val="2"/>
        </w:numPr>
        <w:spacing w:after="60"/>
      </w:pPr>
      <w:r>
        <w:rPr>
          <w:sz w:val="21"/>
          <w:szCs w:val="21"/>
        </w:rPr>
        <w:t xml:space="preserve">Demonstrates that Samsung-approved AI tooling can deliver production-grade internal systems without data-governance exposure — a repeatable model, not a one-off.</w:t>
      </w:r>
    </w:p>
    <w:p>
      <w:pPr>
        <w:pStyle w:val="ListParagraph"/>
        <w:numPr>
          <w:ilvl w:val="0"/>
          <w:numId w:val="2"/>
        </w:numPr>
        <w:spacing w:after="60"/>
      </w:pPr>
      <w:r>
        <w:rPr>
          <w:sz w:val="21"/>
          <w:szCs w:val="21"/>
        </w:rPr>
        <w:t xml:space="preserve">Provides a transferable capability-management platform for other subsidiaries at negligible marginal cost.</w:t>
      </w:r>
    </w:p>
    <w:p>
      <w:pPr>
        <w:pStyle w:val="ListParagraph"/>
        <w:numPr>
          <w:ilvl w:val="0"/>
          <w:numId w:val="2"/>
        </w:numPr>
        <w:spacing w:after="60"/>
      </w:pPr>
      <w:r>
        <w:rPr>
          <w:sz w:val="21"/>
          <w:szCs w:val="21"/>
        </w:rPr>
        <w:t xml:space="preserve">Converts an existing evaluation dataset from a reporting artefact into an operational improvement asset.</w:t>
      </w:r>
    </w:p>
    <w:p>
      <w:pPr>
        <w:pStyle w:val="ListParagraph"/>
        <w:numPr>
          <w:ilvl w:val="0"/>
          <w:numId w:val="2"/>
        </w:numPr>
        <w:spacing w:after="60"/>
      </w:pPr>
      <w:r>
        <w:rPr>
          <w:sz w:val="21"/>
          <w:szCs w:val="21"/>
        </w:rPr>
        <w:t xml:space="preserve">Establishes an internal reference architecture for compliant AI adoption in the service organisation.</w:t>
      </w:r>
    </w:p>
    <w:p>
      <w:pPr>
        <w:pageBreakBefore/>
      </w:pPr>
    </w:p>
    <w:p>
      <w:pPr>
        <w:pStyle w:val="Heading1"/>
        <w:pBdr>
          <w:bottom w:val="single" w:color="1428A0" w:sz="6" w:space="6"/>
        </w:pBdr>
        <w:spacing w:after="170" w:before="380"/>
      </w:pPr>
      <w:r>
        <w:rPr>
          <w:b/>
          <w:bCs/>
          <w:color w:val="0B1F3A"/>
          <w:sz w:val="30"/>
          <w:szCs w:val="30"/>
        </w:rPr>
        <w:t xml:space="preserve">Appendix A — Data to Confirm Before Submission</w:t>
      </w:r>
    </w:p>
    <w:p>
      <w:pPr>
        <w:spacing w:after="130"/>
        <w:jc w:val="both"/>
      </w:pPr>
      <w:r>
        <w:rPr>
          <w:b w:val="false"/>
          <w:bCs w:val="false"/>
          <w:i w:val="false"/>
          <w:iCs w:val="false"/>
          <w:color w:val="1A1A1A"/>
          <w:sz w:val="22"/>
          <w:szCs w:val="22"/>
        </w:rPr>
        <w:t xml:space="preserve">The following figures must be supplied by the Customer Service Division and inserted in the marked locations. Every claim in this report is otherwise based on the delivered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Ref</w:t>
            </w:r>
          </w:p>
        </w:tc>
        <w:tc>
          <w:tcPr>
            <w:tcW w:type="dxa" w:w="54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Required figure</w:t>
            </w:r>
          </w:p>
        </w:tc>
        <w:tc>
          <w:tcPr>
            <w:tcW w:type="dxa" w:w="326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Used in</w:t>
            </w:r>
          </w:p>
        </w:tc>
      </w:tr>
      <w:tr>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A1</w:t>
            </w:r>
          </w:p>
        </w:tc>
        <w:tc>
          <w:tcPr>
            <w:tcW w:type="dxa" w:w="5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Project owner: full name, GSPN ID, job title</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Cover page</w:t>
            </w:r>
          </w:p>
        </w:tc>
      </w:tr>
      <w:tr>
        <w:tc>
          <w:tcPr>
            <w:tcW w:type="dxa" w:w="7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A2</w:t>
            </w:r>
          </w:p>
        </w:tc>
        <w:tc>
          <w:tcPr>
            <w:tcW w:type="dxa" w:w="5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Total number of engineers under evaluation</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Sections 1.2, 6.2</w:t>
            </w:r>
          </w:p>
        </w:tc>
      </w:tr>
      <w:tr>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A3</w:t>
            </w:r>
          </w:p>
        </w:tc>
        <w:tc>
          <w:tcPr>
            <w:tcW w:type="dxa" w:w="5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Number of service centres and partners covered</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Section 1.2</w:t>
            </w:r>
          </w:p>
        </w:tc>
      </w:tr>
      <w:tr>
        <w:tc>
          <w:tcPr>
            <w:tcW w:type="dxa" w:w="7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A4</w:t>
            </w:r>
          </w:p>
        </w:tc>
        <w:tc>
          <w:tcPr>
            <w:tcW w:type="dxa" w:w="5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Working days from cycle close to engineer awareness — before</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Sections 1.2, 3.2</w:t>
            </w:r>
          </w:p>
        </w:tc>
      </w:tr>
      <w:tr>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A5</w:t>
            </w:r>
          </w:p>
        </w:tc>
        <w:tc>
          <w:tcPr>
            <w:tcW w:type="dxa" w:w="5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Working days from cycle close to engineer awareness — after</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Section 3.2</w:t>
            </w:r>
          </w:p>
        </w:tc>
      </w:tr>
      <w:tr>
        <w:tc>
          <w:tcPr>
            <w:tcW w:type="dxa" w:w="7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A6</w:t>
            </w:r>
          </w:p>
        </w:tc>
        <w:tc>
          <w:tcPr>
            <w:tcW w:type="dxa" w:w="5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Man-hours per cycle for manual consolidation and distribution — before</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Sections 1.2, 6.2</w:t>
            </w:r>
          </w:p>
        </w:tc>
      </w:tr>
      <w:tr>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A7</w:t>
            </w:r>
          </w:p>
        </w:tc>
        <w:tc>
          <w:tcPr>
            <w:tcW w:type="dxa" w:w="5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Engineer adoption rate since rollout (percentage accessing own result)</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Sections 2.1, 6.2</w:t>
            </w:r>
          </w:p>
        </w:tc>
      </w:tr>
      <w:tr>
        <w:tc>
          <w:tcPr>
            <w:tcW w:type="dxa" w:w="7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A8</w:t>
            </w:r>
          </w:p>
        </w:tc>
        <w:tc>
          <w:tcPr>
            <w:tcW w:type="dxa" w:w="5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Measured movement in target service KPIs since rollout</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Sections 2.1, 6.2</w:t>
            </w:r>
          </w:p>
        </w:tc>
      </w:tr>
      <w:tr>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A9</w:t>
            </w:r>
          </w:p>
        </w:tc>
        <w:tc>
          <w:tcPr>
            <w:tcW w:type="dxa" w:w="5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Number of published knowledge items and monthly active readers</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Sections 2.1, 6.2</w:t>
            </w:r>
          </w:p>
        </w:tc>
      </w:tr>
      <w:tr>
        <w:tc>
          <w:tcPr>
            <w:tcW w:type="dxa" w:w="7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A10</w:t>
            </w:r>
          </w:p>
        </w:tc>
        <w:tc>
          <w:tcPr>
            <w:tcW w:type="dxa" w:w="54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Number of challenge sessions delivered and average score</w:t>
            </w:r>
          </w:p>
        </w:tc>
        <w:tc>
          <w:tcPr>
            <w:tcW w:type="dxa" w:w="32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Sections 2.1, 6.2</w:t>
            </w:r>
          </w:p>
        </w:tc>
      </w:tr>
      <w:tr>
        <w:tc>
          <w:tcPr>
            <w:tcW w:type="dxa" w:w="7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A11</w:t>
            </w:r>
          </w:p>
        </w:tc>
        <w:tc>
          <w:tcPr>
            <w:tcW w:type="dxa" w:w="54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Confirmation of deployment scope for the pilot (sites covered)</w:t>
            </w:r>
          </w:p>
        </w:tc>
        <w:tc>
          <w:tcPr>
            <w:tcW w:type="dxa" w:w="32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Sections 1.3, 4.1</w:t>
            </w:r>
          </w:p>
        </w:tc>
      </w:tr>
    </w:tbl>
    <w:p>
      <w:pPr>
        <w:spacing w:after="220"/>
      </w:pPr>
      <w:r>
        <w:t xml:space="preserve"/>
      </w:r>
    </w:p>
    <w:p>
      <w:pPr>
        <w:pStyle w:val="Heading1"/>
        <w:pBdr>
          <w:bottom w:val="single" w:color="1428A0" w:sz="6" w:space="6"/>
        </w:pBdr>
        <w:spacing w:after="170" w:before="380"/>
      </w:pPr>
      <w:r>
        <w:rPr>
          <w:b/>
          <w:bCs/>
          <w:color w:val="0B1F3A"/>
          <w:sz w:val="30"/>
          <w:szCs w:val="30"/>
        </w:rPr>
        <w:t xml:space="preserve">Appendix B —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Field</w:t>
            </w:r>
          </w:p>
        </w:tc>
        <w:tc>
          <w:tcPr>
            <w:tcW w:type="dxa" w:w="6760"/>
            <w:tcBorders>
              <w:top w:val="single" w:color="C9D2DD" w:sz="4"/>
              <w:left w:val="single" w:color="C9D2DD" w:sz="4"/>
              <w:bottom w:val="single" w:color="C9D2DD" w:sz="4"/>
              <w:right w:val="single" w:color="C9D2DD" w:sz="4"/>
            </w:tcBorders>
            <w:shd w:fill="1428A0" w:val="clear"/>
            <w:tcMar>
              <w:top w:type="dxa" w:w="70"/>
              <w:left w:type="dxa" w:w="110"/>
              <w:bottom w:type="dxa" w:w="70"/>
              <w:right w:type="dxa" w:w="110"/>
            </w:tcMar>
          </w:tcPr>
          <w:p>
            <w:pPr>
              <w:spacing w:after="20"/>
            </w:pPr>
            <w:r>
              <w:rPr>
                <w:b/>
                <w:bCs/>
                <w:color w:val="FFFFFF"/>
                <w:sz w:val="18"/>
                <w:szCs w:val="18"/>
              </w:rPr>
              <w:t xml:space="preserve">Value</w:t>
            </w:r>
          </w:p>
        </w:tc>
      </w:tr>
      <w:tr>
        <w:tc>
          <w:tcPr>
            <w:tcW w:type="dxa" w:w="26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Document title</w:t>
            </w:r>
          </w:p>
        </w:tc>
        <w:tc>
          <w:tcPr>
            <w:tcW w:type="dxa" w:w="67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SCORA — AX Award Submission (RHQ)</w:t>
            </w:r>
          </w:p>
        </w:tc>
      </w:tr>
      <w:tr>
        <w:tc>
          <w:tcPr>
            <w:tcW w:type="dxa" w:w="26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Version</w:t>
            </w:r>
          </w:p>
        </w:tc>
        <w:tc>
          <w:tcPr>
            <w:tcW w:type="dxa" w:w="67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1.0</w:t>
            </w:r>
          </w:p>
        </w:tc>
      </w:tr>
      <w:tr>
        <w:tc>
          <w:tcPr>
            <w:tcW w:type="dxa" w:w="26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Prepared by</w:t>
            </w:r>
          </w:p>
        </w:tc>
        <w:tc>
          <w:tcPr>
            <w:tcW w:type="dxa" w:w="67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[TBC: project owner]</w:t>
            </w:r>
          </w:p>
        </w:tc>
      </w:tr>
      <w:tr>
        <w:tc>
          <w:tcPr>
            <w:tcW w:type="dxa" w:w="26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Reviewed by</w:t>
            </w:r>
          </w:p>
        </w:tc>
        <w:tc>
          <w:tcPr>
            <w:tcW w:type="dxa" w:w="67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[TBC: Customer Service management]</w:t>
            </w:r>
          </w:p>
        </w:tc>
      </w:tr>
      <w:tr>
        <w:tc>
          <w:tcPr>
            <w:tcW w:type="dxa" w:w="26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Approved by</w:t>
            </w:r>
          </w:p>
        </w:tc>
        <w:tc>
          <w:tcPr>
            <w:tcW w:type="dxa" w:w="67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[TBC: Division head]</w:t>
            </w:r>
          </w:p>
        </w:tc>
      </w:tr>
      <w:tr>
        <w:tc>
          <w:tcPr>
            <w:tcW w:type="dxa" w:w="26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Date generated</w:t>
            </w:r>
          </w:p>
        </w:tc>
        <w:tc>
          <w:tcPr>
            <w:tcW w:type="dxa" w:w="67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2026-09-14</w:t>
            </w:r>
          </w:p>
        </w:tc>
      </w:tr>
      <w:tr>
        <w:tc>
          <w:tcPr>
            <w:tcW w:type="dxa" w:w="260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Classification</w:t>
            </w:r>
          </w:p>
        </w:tc>
        <w:tc>
          <w:tcPr>
            <w:tcW w:type="dxa" w:w="6760"/>
            <w:tcBorders>
              <w:top w:val="single" w:color="C9D2DD" w:sz="4"/>
              <w:left w:val="single" w:color="C9D2DD" w:sz="4"/>
              <w:bottom w:val="single" w:color="C9D2DD" w:sz="4"/>
              <w:right w:val="single" w:color="C9D2DD" w:sz="4"/>
            </w:tcBorders>
            <w:tcMar>
              <w:top w:type="dxa" w:w="70"/>
              <w:left w:type="dxa" w:w="110"/>
              <w:bottom w:type="dxa" w:w="70"/>
              <w:right w:type="dxa" w:w="110"/>
            </w:tcMar>
          </w:tcPr>
          <w:p>
            <w:pPr>
              <w:spacing w:after="20"/>
            </w:pPr>
            <w:r>
              <w:rPr>
                <w:b w:val="false"/>
                <w:bCs w:val="false"/>
                <w:color w:val="1A1A1A"/>
                <w:sz w:val="18"/>
                <w:szCs w:val="18"/>
              </w:rPr>
              <w:t xml:space="preserve">Confidential — Internal Use Only</w:t>
            </w:r>
          </w:p>
        </w:tc>
      </w:tr>
      <w:tr>
        <w:tc>
          <w:tcPr>
            <w:tcW w:type="dxa" w:w="260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Distribution</w:t>
            </w:r>
          </w:p>
        </w:tc>
        <w:tc>
          <w:tcPr>
            <w:tcW w:type="dxa" w:w="6760"/>
            <w:tcBorders>
              <w:top w:val="single" w:color="C9D2DD" w:sz="4"/>
              <w:left w:val="single" w:color="C9D2DD" w:sz="4"/>
              <w:bottom w:val="single" w:color="C9D2DD" w:sz="4"/>
              <w:right w:val="single" w:color="C9D2DD" w:sz="4"/>
            </w:tcBorders>
            <w:shd w:fill="F2F5FA" w:val="clear"/>
            <w:tcMar>
              <w:top w:type="dxa" w:w="70"/>
              <w:left w:type="dxa" w:w="110"/>
              <w:bottom w:type="dxa" w:w="70"/>
              <w:right w:type="dxa" w:w="110"/>
            </w:tcMar>
          </w:tcPr>
          <w:p>
            <w:pPr>
              <w:spacing w:after="20"/>
            </w:pPr>
            <w:r>
              <w:rPr>
                <w:b w:val="false"/>
                <w:bCs w:val="false"/>
                <w:color w:val="1A1A1A"/>
                <w:sz w:val="18"/>
                <w:szCs w:val="18"/>
              </w:rPr>
              <w:t xml:space="preserve">RHQ Top Management; Samsung Electronics Egypt Customer Service management</w:t>
            </w:r>
          </w:p>
        </w:tc>
      </w:tr>
    </w:tbl>
    <w:sectPr>
      <w:headerReference w:type="default" r:id="rId7"/>
      <w:footerReference w:type="default" r:id="rId8"/>
      <w:pgSz w:w="11906" w:h="16838" w:orient="portrait"/>
      <w:pgMar w:top="90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Confidential — Internal Use Only   |   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space="4"/>
      </w:pBdr>
      <w:spacing w:after="60"/>
      <w:jc w:val="right"/>
    </w:pPr>
    <w:r>
      <w:rPr>
        <w:color w:val="5A6472"/>
        <w:sz w:val="16"/>
        <w:szCs w:val="16"/>
      </w:rPr>
      <w:t xml:space="preserve">SAMSUNG ELECTRONICS EGYPT  ·  CUSTOMER SERVICE  ·  </w:t>
    </w:r>
    <w:r>
      <w:rPr>
        <w:b/>
        <w:bCs/>
        <w:color w:val="1428A0"/>
        <w:sz w:val="16"/>
        <w:szCs w:val="16"/>
      </w:rPr>
      <w:t xml:space="preserve">AX AWARD SUBMISSION — SCORA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SCORA — AX Award Submission (RHQ)</dc:title>
  <dc:creator>Samsung Electronics Egypt — Customer Service</dc:creator>
  <dc:description>AI Transformation (AX) award submission for SCORA: engineer capability transparency, knowledge enablement and gamified competency development.</dc:description>
  <cp:lastModifiedBy>Un-named</cp:lastModifiedBy>
  <cp:revision>1</cp:revision>
  <dcterms:created xsi:type="dcterms:W3CDTF">2026-09-14T18:47:58.818Z</dcterms:created>
  <dcterms:modified xsi:type="dcterms:W3CDTF">2026-09-14T18:47:58.818Z</dcterms:modified>
</cp:coreProperties>
</file>

<file path=docProps/custom.xml><?xml version="1.0" encoding="utf-8"?>
<Properties xmlns="http://schemas.openxmlformats.org/officeDocument/2006/custom-properties" xmlns:vt="http://schemas.openxmlformats.org/officeDocument/2006/docPropsVTypes"/>
</file>