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firstLine="0"/>
        <w:jc w:val="center"/>
        <w:rPr/>
      </w:pPr>
      <w:r w:rsidDel="00000000" w:rsidR="00000000" w:rsidRPr="00000000">
        <w:rPr>
          <w:rFonts w:ascii="Malgun Gothic" w:cs="Malgun Gothic" w:eastAsia="Malgun Gothic" w:hAnsi="Malgun Gothic"/>
          <w:b w:val="1"/>
          <w:bCs w:val="1"/>
          <w:color w:val="2f5496"/>
          <w:sz w:val="36"/>
          <w:szCs w:val="36"/>
          <w:rtl w:val="0"/>
        </w:rPr>
        <w:t xml:space="preserve">중학교 과학 「식물과 에너지」 단원 수행평가 도구</w:t>
      </w:r>
      <w:r w:rsidDel="00000000" w:rsidR="00000000" w:rsidRPr="00000000">
        <w:rPr>
          <w:rtl w:val="0"/>
        </w:rPr>
      </w:r>
    </w:p>
    <w:p w:rsidR="00000000" w:rsidDel="00000000" w:rsidP="00000000" w:rsidRDefault="00000000" w:rsidRPr="00000000" w14:paraId="00000002">
      <w:pPr>
        <w:spacing w:after="0" w:lineRule="auto"/>
        <w:ind w:firstLine="0"/>
        <w:jc w:val="center"/>
        <w:rPr/>
      </w:pPr>
      <w:r w:rsidDel="00000000" w:rsidR="00000000" w:rsidRPr="00000000">
        <w:rPr>
          <w:rFonts w:ascii="Malgun Gothic" w:cs="Malgun Gothic" w:eastAsia="Malgun Gothic" w:hAnsi="Malgun Gothic"/>
          <w:b w:val="1"/>
          <w:bCs w:val="1"/>
          <w:color w:val="7f7f7f"/>
          <w:sz w:val="26"/>
          <w:szCs w:val="26"/>
          <w:rtl w:val="0"/>
        </w:rPr>
        <w:t xml:space="preserve">과제: 광합성에 영향을 미치는 환경요인 탐구 실험 설계하기 (서·논술형)</w:t>
      </w:r>
      <w:r w:rsidDel="00000000" w:rsidR="00000000" w:rsidRPr="00000000">
        <w:rPr>
          <w:rtl w:val="0"/>
        </w:rPr>
      </w:r>
    </w:p>
    <w:p w:rsidR="00000000" w:rsidDel="00000000" w:rsidP="00000000" w:rsidRDefault="00000000" w:rsidRPr="00000000" w14:paraId="00000003">
      <w:pPr>
        <w:spacing w:after="0" w:lineRule="auto"/>
        <w:ind w:firstLine="0"/>
        <w:rPr/>
      </w:pPr>
      <w:r w:rsidDel="00000000" w:rsidR="00000000" w:rsidRPr="00000000">
        <w:rPr>
          <w:rtl w:val="0"/>
        </w:rPr>
      </w:r>
    </w:p>
    <w:p w:rsidR="00000000" w:rsidDel="00000000" w:rsidP="00000000" w:rsidRDefault="00000000" w:rsidRPr="00000000" w14:paraId="00000004">
      <w:pPr>
        <w:ind w:firstLine="0"/>
        <w:rPr/>
      </w:pPr>
      <w:r w:rsidDel="00000000" w:rsidR="00000000" w:rsidRPr="00000000">
        <w:rPr>
          <w:rFonts w:ascii="Malgun Gothic" w:cs="Malgun Gothic" w:eastAsia="Malgun Gothic" w:hAnsi="Malgun Gothic"/>
          <w:b w:val="1"/>
          <w:bCs w:val="1"/>
          <w:color w:val="2f5496"/>
          <w:sz w:val="28"/>
          <w:szCs w:val="28"/>
          <w:rtl w:val="0"/>
        </w:rPr>
        <w:t xml:space="preserve">1. 평가 도구 개요</w:t>
      </w:r>
      <w:r w:rsidDel="00000000" w:rsidR="00000000" w:rsidRPr="00000000">
        <w:rPr>
          <w:rtl w:val="0"/>
        </w:rPr>
      </w:r>
    </w:p>
    <w:tbl>
      <w:tblPr>
        <w:tblStyle w:val="Table1"/>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d3d3d3" w:space="0" w:sz="4" w:val="single"/>
              <w:left w:color="d3d3d3" w:space="0" w:sz="4" w:val="single"/>
              <w:bottom w:color="d3d3d3" w:space="0" w:sz="4" w:val="single"/>
              <w:right w:color="d3d3d3" w:space="0" w:sz="4" w:val="single"/>
            </w:tcBorders>
            <w:shd w:fill="f2f4f8" w:val="clear"/>
            <w:tcMar>
              <w:top w:w="140.0" w:type="dxa"/>
              <w:left w:w="140.0" w:type="dxa"/>
              <w:bottom w:w="140.0" w:type="dxa"/>
              <w:right w:w="140.0" w:type="dxa"/>
            </w:tcMar>
            <w:vAlign w:val="center"/>
          </w:tcPr>
          <w:p w:rsidR="00000000" w:rsidDel="00000000" w:rsidP="00000000" w:rsidRDefault="00000000" w:rsidRPr="00000000" w14:paraId="00000005">
            <w:pPr>
              <w:ind w:firstLine="0"/>
              <w:jc w:val="left"/>
              <w:rPr/>
            </w:pPr>
            <w:r w:rsidDel="00000000" w:rsidR="00000000" w:rsidRPr="00000000">
              <w:rPr>
                <w:rFonts w:ascii="Malgun Gothic" w:cs="Malgun Gothic" w:eastAsia="Malgun Gothic" w:hAnsi="Malgun Gothic"/>
                <w:b w:val="1"/>
                <w:bCs w:val="1"/>
                <w:sz w:val="19"/>
                <w:szCs w:val="19"/>
                <w:rtl w:val="0"/>
              </w:rPr>
              <w:t xml:space="preserve">학교급</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40.0" w:type="dxa"/>
              <w:left w:w="140.0" w:type="dxa"/>
              <w:bottom w:w="140.0" w:type="dxa"/>
              <w:right w:w="140.0" w:type="dxa"/>
            </w:tcMar>
            <w:vAlign w:val="center"/>
          </w:tcPr>
          <w:p w:rsidR="00000000" w:rsidDel="00000000" w:rsidP="00000000" w:rsidRDefault="00000000" w:rsidRPr="00000000" w14:paraId="00000006">
            <w:pPr>
              <w:ind w:firstLine="0"/>
              <w:jc w:val="left"/>
              <w:rPr/>
            </w:pPr>
            <w:r w:rsidDel="00000000" w:rsidR="00000000" w:rsidRPr="00000000">
              <w:rPr>
                <w:rFonts w:ascii="Malgun Gothic" w:cs="Malgun Gothic" w:eastAsia="Malgun Gothic" w:hAnsi="Malgun Gothic"/>
                <w:sz w:val="19"/>
                <w:szCs w:val="19"/>
                <w:rtl w:val="0"/>
              </w:rPr>
              <w:t xml:space="preserve">중학교</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4f8" w:val="clear"/>
            <w:tcMar>
              <w:top w:w="140.0" w:type="dxa"/>
              <w:left w:w="140.0" w:type="dxa"/>
              <w:bottom w:w="140.0" w:type="dxa"/>
              <w:right w:w="140.0" w:type="dxa"/>
            </w:tcMar>
            <w:vAlign w:val="center"/>
          </w:tcPr>
          <w:p w:rsidR="00000000" w:rsidDel="00000000" w:rsidP="00000000" w:rsidRDefault="00000000" w:rsidRPr="00000000" w14:paraId="00000007">
            <w:pPr>
              <w:ind w:firstLine="0"/>
              <w:jc w:val="left"/>
              <w:rPr/>
            </w:pPr>
            <w:r w:rsidDel="00000000" w:rsidR="00000000" w:rsidRPr="00000000">
              <w:rPr>
                <w:rFonts w:ascii="Malgun Gothic" w:cs="Malgun Gothic" w:eastAsia="Malgun Gothic" w:hAnsi="Malgun Gothic"/>
                <w:b w:val="1"/>
                <w:bCs w:val="1"/>
                <w:sz w:val="19"/>
                <w:szCs w:val="19"/>
                <w:rtl w:val="0"/>
              </w:rPr>
              <w:t xml:space="preserve">과목</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40.0" w:type="dxa"/>
              <w:left w:w="140.0" w:type="dxa"/>
              <w:bottom w:w="140.0" w:type="dxa"/>
              <w:right w:w="140.0" w:type="dxa"/>
            </w:tcMar>
            <w:vAlign w:val="center"/>
          </w:tcPr>
          <w:p w:rsidR="00000000" w:rsidDel="00000000" w:rsidP="00000000" w:rsidRDefault="00000000" w:rsidRPr="00000000" w14:paraId="00000008">
            <w:pPr>
              <w:ind w:firstLine="0"/>
              <w:jc w:val="left"/>
              <w:rPr/>
            </w:pPr>
            <w:r w:rsidDel="00000000" w:rsidR="00000000" w:rsidRPr="00000000">
              <w:rPr>
                <w:rFonts w:ascii="Malgun Gothic" w:cs="Malgun Gothic" w:eastAsia="Malgun Gothic" w:hAnsi="Malgun Gothic"/>
                <w:sz w:val="19"/>
                <w:szCs w:val="19"/>
                <w:rtl w:val="0"/>
              </w:rPr>
              <w:t xml:space="preserve">과학</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2f4f8" w:val="clear"/>
            <w:tcMar>
              <w:top w:w="140.0" w:type="dxa"/>
              <w:left w:w="140.0" w:type="dxa"/>
              <w:bottom w:w="140.0" w:type="dxa"/>
              <w:right w:w="140.0" w:type="dxa"/>
            </w:tcMar>
            <w:vAlign w:val="center"/>
          </w:tcPr>
          <w:p w:rsidR="00000000" w:rsidDel="00000000" w:rsidP="00000000" w:rsidRDefault="00000000" w:rsidRPr="00000000" w14:paraId="00000009">
            <w:pPr>
              <w:ind w:firstLine="0"/>
              <w:jc w:val="left"/>
              <w:rPr/>
            </w:pPr>
            <w:r w:rsidDel="00000000" w:rsidR="00000000" w:rsidRPr="00000000">
              <w:rPr>
                <w:rFonts w:ascii="Malgun Gothic" w:cs="Malgun Gothic" w:eastAsia="Malgun Gothic" w:hAnsi="Malgun Gothic"/>
                <w:b w:val="1"/>
                <w:bCs w:val="1"/>
                <w:sz w:val="19"/>
                <w:szCs w:val="19"/>
                <w:rtl w:val="0"/>
              </w:rPr>
              <w:t xml:space="preserve">학년군</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40.0" w:type="dxa"/>
              <w:left w:w="140.0" w:type="dxa"/>
              <w:bottom w:w="140.0" w:type="dxa"/>
              <w:right w:w="140.0" w:type="dxa"/>
            </w:tcMar>
            <w:vAlign w:val="center"/>
          </w:tcPr>
          <w:p w:rsidR="00000000" w:rsidDel="00000000" w:rsidP="00000000" w:rsidRDefault="00000000" w:rsidRPr="00000000" w14:paraId="0000000A">
            <w:pPr>
              <w:ind w:firstLine="0"/>
              <w:jc w:val="left"/>
              <w:rPr/>
            </w:pPr>
            <w:r w:rsidDel="00000000" w:rsidR="00000000" w:rsidRPr="00000000">
              <w:rPr>
                <w:rFonts w:ascii="Malgun Gothic" w:cs="Malgun Gothic" w:eastAsia="Malgun Gothic" w:hAnsi="Malgun Gothic"/>
                <w:sz w:val="19"/>
                <w:szCs w:val="19"/>
                <w:rtl w:val="0"/>
              </w:rPr>
              <w:t xml:space="preserve">2학년 </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4f8" w:val="clear"/>
            <w:tcMar>
              <w:top w:w="140.0" w:type="dxa"/>
              <w:left w:w="140.0" w:type="dxa"/>
              <w:bottom w:w="140.0" w:type="dxa"/>
              <w:right w:w="140.0" w:type="dxa"/>
            </w:tcMar>
            <w:vAlign w:val="center"/>
          </w:tcPr>
          <w:p w:rsidR="00000000" w:rsidDel="00000000" w:rsidP="00000000" w:rsidRDefault="00000000" w:rsidRPr="00000000" w14:paraId="0000000B">
            <w:pPr>
              <w:ind w:firstLine="0"/>
              <w:jc w:val="left"/>
              <w:rPr/>
            </w:pPr>
            <w:r w:rsidDel="00000000" w:rsidR="00000000" w:rsidRPr="00000000">
              <w:rPr>
                <w:rFonts w:ascii="Malgun Gothic" w:cs="Malgun Gothic" w:eastAsia="Malgun Gothic" w:hAnsi="Malgun Gothic"/>
                <w:b w:val="1"/>
                <w:bCs w:val="1"/>
                <w:sz w:val="19"/>
                <w:szCs w:val="19"/>
                <w:rtl w:val="0"/>
              </w:rPr>
              <w:t xml:space="preserve">영역(단원)</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40.0" w:type="dxa"/>
              <w:left w:w="140.0" w:type="dxa"/>
              <w:bottom w:w="140.0" w:type="dxa"/>
              <w:right w:w="140.0" w:type="dxa"/>
            </w:tcMar>
            <w:vAlign w:val="center"/>
          </w:tcPr>
          <w:p w:rsidR="00000000" w:rsidDel="00000000" w:rsidP="00000000" w:rsidRDefault="00000000" w:rsidRPr="00000000" w14:paraId="0000000C">
            <w:pPr>
              <w:ind w:firstLine="0"/>
              <w:jc w:val="left"/>
              <w:rPr/>
            </w:pPr>
            <w:r w:rsidDel="00000000" w:rsidR="00000000" w:rsidRPr="00000000">
              <w:rPr>
                <w:rFonts w:ascii="Malgun Gothic" w:cs="Malgun Gothic" w:eastAsia="Malgun Gothic" w:hAnsi="Malgun Gothic"/>
                <w:sz w:val="19"/>
                <w:szCs w:val="19"/>
                <w:rtl w:val="0"/>
              </w:rPr>
              <w:t xml:space="preserve">식물과 에너지 (광합성)</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2f4f8" w:val="clear"/>
            <w:tcMar>
              <w:top w:w="140.0" w:type="dxa"/>
              <w:left w:w="140.0" w:type="dxa"/>
              <w:bottom w:w="140.0" w:type="dxa"/>
              <w:right w:w="140.0" w:type="dxa"/>
            </w:tcMar>
            <w:vAlign w:val="center"/>
          </w:tcPr>
          <w:p w:rsidR="00000000" w:rsidDel="00000000" w:rsidP="00000000" w:rsidRDefault="00000000" w:rsidRPr="00000000" w14:paraId="0000000D">
            <w:pPr>
              <w:ind w:firstLine="0"/>
              <w:jc w:val="left"/>
              <w:rPr/>
            </w:pPr>
            <w:r w:rsidDel="00000000" w:rsidR="00000000" w:rsidRPr="00000000">
              <w:rPr>
                <w:rFonts w:ascii="Malgun Gothic" w:cs="Malgun Gothic" w:eastAsia="Malgun Gothic" w:hAnsi="Malgun Gothic"/>
                <w:b w:val="1"/>
                <w:bCs w:val="1"/>
                <w:sz w:val="19"/>
                <w:szCs w:val="19"/>
                <w:rtl w:val="0"/>
              </w:rPr>
              <w:t xml:space="preserve">성취기준</w:t>
            </w:r>
            <w:r w:rsidDel="00000000" w:rsidR="00000000" w:rsidRPr="00000000">
              <w:rPr>
                <w:rtl w:val="0"/>
              </w:rPr>
            </w:r>
          </w:p>
        </w:tc>
        <w:tc>
          <w:tcPr>
            <w:gridSpan w:val="3"/>
            <w:tcBorders>
              <w:top w:color="d3d3d3" w:space="0" w:sz="4" w:val="single"/>
              <w:left w:color="d3d3d3" w:space="0" w:sz="4" w:val="single"/>
              <w:bottom w:color="d3d3d3" w:space="0" w:sz="4" w:val="single"/>
              <w:right w:color="d3d3d3" w:space="0" w:sz="4" w:val="single"/>
            </w:tcBorders>
            <w:shd w:fill="ffffff" w:val="clear"/>
            <w:tcMar>
              <w:top w:w="140.0" w:type="dxa"/>
              <w:left w:w="140.0" w:type="dxa"/>
              <w:bottom w:w="140.0" w:type="dxa"/>
              <w:right w:w="140.0" w:type="dxa"/>
            </w:tcMar>
            <w:vAlign w:val="center"/>
          </w:tcPr>
          <w:p w:rsidR="00000000" w:rsidDel="00000000" w:rsidP="00000000" w:rsidRDefault="00000000" w:rsidRPr="00000000" w14:paraId="0000000E">
            <w:pPr>
              <w:ind w:firstLine="0"/>
              <w:jc w:val="left"/>
              <w:rPr/>
            </w:pPr>
            <w:r w:rsidDel="00000000" w:rsidR="00000000" w:rsidRPr="00000000">
              <w:rPr>
                <w:rFonts w:ascii="Malgun Gothic" w:cs="Malgun Gothic" w:eastAsia="Malgun Gothic" w:hAnsi="Malgun Gothic"/>
                <w:sz w:val="19"/>
                <w:szCs w:val="19"/>
                <w:rtl w:val="0"/>
              </w:rPr>
              <w:t xml:space="preserve">[9과12-01] 광합성 과정을 이해하고, 환경 요인과 광합성의 관계를 탐구하는 실험을 설계할 수 있다.</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2f4f8" w:val="clear"/>
            <w:tcMar>
              <w:top w:w="140.0" w:type="dxa"/>
              <w:left w:w="140.0" w:type="dxa"/>
              <w:bottom w:w="140.0" w:type="dxa"/>
              <w:right w:w="140.0" w:type="dxa"/>
            </w:tcMar>
            <w:vAlign w:val="center"/>
          </w:tcPr>
          <w:p w:rsidR="00000000" w:rsidDel="00000000" w:rsidP="00000000" w:rsidRDefault="00000000" w:rsidRPr="00000000" w14:paraId="00000011">
            <w:pPr>
              <w:ind w:firstLine="0"/>
              <w:jc w:val="left"/>
              <w:rPr/>
            </w:pPr>
            <w:r w:rsidDel="00000000" w:rsidR="00000000" w:rsidRPr="00000000">
              <w:rPr>
                <w:rFonts w:ascii="Malgun Gothic" w:cs="Malgun Gothic" w:eastAsia="Malgun Gothic" w:hAnsi="Malgun Gothic"/>
                <w:b w:val="1"/>
                <w:bCs w:val="1"/>
                <w:sz w:val="19"/>
                <w:szCs w:val="19"/>
                <w:rtl w:val="0"/>
              </w:rPr>
              <w:t xml:space="preserve">평가 과제</w:t>
            </w:r>
            <w:r w:rsidDel="00000000" w:rsidR="00000000" w:rsidRPr="00000000">
              <w:rPr>
                <w:rtl w:val="0"/>
              </w:rPr>
            </w:r>
          </w:p>
        </w:tc>
        <w:tc>
          <w:tcPr>
            <w:gridSpan w:val="3"/>
            <w:tcBorders>
              <w:top w:color="d3d3d3" w:space="0" w:sz="4" w:val="single"/>
              <w:left w:color="d3d3d3" w:space="0" w:sz="4" w:val="single"/>
              <w:bottom w:color="d3d3d3" w:space="0" w:sz="4" w:val="single"/>
              <w:right w:color="d3d3d3" w:space="0" w:sz="4" w:val="single"/>
            </w:tcBorders>
            <w:shd w:fill="ffffff" w:val="clear"/>
            <w:tcMar>
              <w:top w:w="140.0" w:type="dxa"/>
              <w:left w:w="140.0" w:type="dxa"/>
              <w:bottom w:w="140.0" w:type="dxa"/>
              <w:right w:w="140.0" w:type="dxa"/>
            </w:tcMar>
            <w:vAlign w:val="center"/>
          </w:tcPr>
          <w:p w:rsidR="00000000" w:rsidDel="00000000" w:rsidP="00000000" w:rsidRDefault="00000000" w:rsidRPr="00000000" w14:paraId="00000012">
            <w:pPr>
              <w:ind w:firstLine="0"/>
              <w:jc w:val="left"/>
              <w:rPr/>
            </w:pPr>
            <w:r w:rsidDel="00000000" w:rsidR="00000000" w:rsidRPr="00000000">
              <w:rPr>
                <w:rFonts w:ascii="Malgun Gothic" w:cs="Malgun Gothic" w:eastAsia="Malgun Gothic" w:hAnsi="Malgun Gothic"/>
                <w:sz w:val="19"/>
                <w:szCs w:val="19"/>
                <w:rtl w:val="0"/>
              </w:rPr>
              <w:t xml:space="preserve">광합성에 영향을 미치는 환경요인 탐구 실험 설계하기</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2f4f8" w:val="clear"/>
            <w:tcMar>
              <w:top w:w="140.0" w:type="dxa"/>
              <w:left w:w="140.0" w:type="dxa"/>
              <w:bottom w:w="140.0" w:type="dxa"/>
              <w:right w:w="140.0" w:type="dxa"/>
            </w:tcMar>
            <w:vAlign w:val="center"/>
          </w:tcPr>
          <w:p w:rsidR="00000000" w:rsidDel="00000000" w:rsidP="00000000" w:rsidRDefault="00000000" w:rsidRPr="00000000" w14:paraId="00000015">
            <w:pPr>
              <w:ind w:firstLine="0"/>
              <w:jc w:val="left"/>
              <w:rPr/>
            </w:pPr>
            <w:r w:rsidDel="00000000" w:rsidR="00000000" w:rsidRPr="00000000">
              <w:rPr>
                <w:rFonts w:ascii="Malgun Gothic" w:cs="Malgun Gothic" w:eastAsia="Malgun Gothic" w:hAnsi="Malgun Gothic"/>
                <w:b w:val="1"/>
                <w:bCs w:val="1"/>
                <w:sz w:val="19"/>
                <w:szCs w:val="19"/>
                <w:rtl w:val="0"/>
              </w:rPr>
              <w:t xml:space="preserve">평가 요소</w:t>
            </w:r>
            <w:r w:rsidDel="00000000" w:rsidR="00000000" w:rsidRPr="00000000">
              <w:rPr>
                <w:rtl w:val="0"/>
              </w:rPr>
            </w:r>
          </w:p>
        </w:tc>
        <w:tc>
          <w:tcPr>
            <w:gridSpan w:val="3"/>
            <w:tcBorders>
              <w:top w:color="d3d3d3" w:space="0" w:sz="4" w:val="single"/>
              <w:left w:color="d3d3d3" w:space="0" w:sz="4" w:val="single"/>
              <w:bottom w:color="d3d3d3" w:space="0" w:sz="4" w:val="single"/>
              <w:right w:color="d3d3d3" w:space="0" w:sz="4" w:val="single"/>
            </w:tcBorders>
            <w:shd w:fill="ffffff" w:val="clear"/>
            <w:tcMar>
              <w:top w:w="140.0" w:type="dxa"/>
              <w:left w:w="140.0" w:type="dxa"/>
              <w:bottom w:w="140.0" w:type="dxa"/>
              <w:right w:w="140.0" w:type="dxa"/>
            </w:tcMar>
            <w:vAlign w:val="center"/>
          </w:tcPr>
          <w:p w:rsidR="00000000" w:rsidDel="00000000" w:rsidP="00000000" w:rsidRDefault="00000000" w:rsidRPr="00000000" w14:paraId="00000016">
            <w:pPr>
              <w:ind w:firstLine="0"/>
              <w:jc w:val="left"/>
              <w:rPr/>
            </w:pPr>
            <w:r w:rsidDel="00000000" w:rsidR="00000000" w:rsidRPr="00000000">
              <w:rPr>
                <w:rFonts w:ascii="Malgun Gothic" w:cs="Malgun Gothic" w:eastAsia="Malgun Gothic" w:hAnsi="Malgun Gothic"/>
                <w:sz w:val="19"/>
                <w:szCs w:val="19"/>
                <w:rtl w:val="0"/>
              </w:rPr>
              <w:t xml:space="preserve"> 탐구 환경요인에 따른 타당한 가설 설정하기</w:t>
              <w:br w:type="textWrapping"/>
              <w:t xml:space="preserve"> 독립 변인과 종속 변인을 구분하고 통제 방안 수립하기</w:t>
              <w:br w:type="textWrapping"/>
              <w:t xml:space="preserve"> 제공된 준비물을 고려하여 논리적인 실험 과정 설계하기</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2f4f8" w:val="clear"/>
            <w:tcMar>
              <w:top w:w="140.0" w:type="dxa"/>
              <w:left w:w="140.0" w:type="dxa"/>
              <w:bottom w:w="140.0" w:type="dxa"/>
              <w:right w:w="140.0" w:type="dxa"/>
            </w:tcMar>
            <w:vAlign w:val="center"/>
          </w:tcPr>
          <w:p w:rsidR="00000000" w:rsidDel="00000000" w:rsidP="00000000" w:rsidRDefault="00000000" w:rsidRPr="00000000" w14:paraId="00000019">
            <w:pPr>
              <w:ind w:firstLine="0"/>
              <w:jc w:val="left"/>
              <w:rPr/>
            </w:pPr>
            <w:r w:rsidDel="00000000" w:rsidR="00000000" w:rsidRPr="00000000">
              <w:rPr>
                <w:rFonts w:ascii="Malgun Gothic" w:cs="Malgun Gothic" w:eastAsia="Malgun Gothic" w:hAnsi="Malgun Gothic"/>
                <w:b w:val="1"/>
                <w:bCs w:val="1"/>
                <w:sz w:val="19"/>
                <w:szCs w:val="19"/>
                <w:rtl w:val="0"/>
              </w:rPr>
              <w:t xml:space="preserve">평가도구 유형</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40.0" w:type="dxa"/>
              <w:left w:w="140.0" w:type="dxa"/>
              <w:bottom w:w="140.0" w:type="dxa"/>
              <w:right w:w="140.0" w:type="dxa"/>
            </w:tcMar>
            <w:vAlign w:val="center"/>
          </w:tcPr>
          <w:p w:rsidR="00000000" w:rsidDel="00000000" w:rsidP="00000000" w:rsidRDefault="00000000" w:rsidRPr="00000000" w14:paraId="0000001A">
            <w:pPr>
              <w:ind w:firstLine="0"/>
              <w:jc w:val="left"/>
              <w:rPr/>
            </w:pPr>
            <w:r w:rsidDel="00000000" w:rsidR="00000000" w:rsidRPr="00000000">
              <w:rPr>
                <w:rFonts w:ascii="Malgun Gothic" w:cs="Malgun Gothic" w:eastAsia="Malgun Gothic" w:hAnsi="Malgun Gothic"/>
                <w:sz w:val="19"/>
                <w:szCs w:val="19"/>
                <w:rtl w:val="0"/>
              </w:rPr>
              <w:t xml:space="preserve">서·논술형 수행평가 (실험 설계형)</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4f8" w:val="clear"/>
            <w:tcMar>
              <w:top w:w="140.0" w:type="dxa"/>
              <w:left w:w="140.0" w:type="dxa"/>
              <w:bottom w:w="140.0" w:type="dxa"/>
              <w:right w:w="140.0" w:type="dxa"/>
            </w:tcMar>
            <w:vAlign w:val="center"/>
          </w:tcPr>
          <w:p w:rsidR="00000000" w:rsidDel="00000000" w:rsidP="00000000" w:rsidRDefault="00000000" w:rsidRPr="00000000" w14:paraId="0000001B">
            <w:pPr>
              <w:ind w:firstLine="0"/>
              <w:jc w:val="left"/>
              <w:rPr/>
            </w:pPr>
            <w:r w:rsidDel="00000000" w:rsidR="00000000" w:rsidRPr="00000000">
              <w:rPr>
                <w:rFonts w:ascii="Malgun Gothic" w:cs="Malgun Gothic" w:eastAsia="Malgun Gothic" w:hAnsi="Malgun Gothic"/>
                <w:b w:val="1"/>
                <w:bCs w:val="1"/>
                <w:sz w:val="19"/>
                <w:szCs w:val="19"/>
                <w:rtl w:val="0"/>
              </w:rPr>
              <w:t xml:space="preserve">배점</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40.0" w:type="dxa"/>
              <w:left w:w="140.0" w:type="dxa"/>
              <w:bottom w:w="140.0" w:type="dxa"/>
              <w:right w:w="140.0" w:type="dxa"/>
            </w:tcMar>
            <w:vAlign w:val="center"/>
          </w:tcPr>
          <w:p w:rsidR="00000000" w:rsidDel="00000000" w:rsidP="00000000" w:rsidRDefault="00000000" w:rsidRPr="00000000" w14:paraId="0000001C">
            <w:pPr>
              <w:ind w:firstLine="0"/>
              <w:jc w:val="left"/>
              <w:rPr/>
            </w:pPr>
            <w:r w:rsidDel="00000000" w:rsidR="00000000" w:rsidRPr="00000000">
              <w:rPr>
                <w:rFonts w:ascii="Malgun Gothic" w:cs="Malgun Gothic" w:eastAsia="Malgun Gothic" w:hAnsi="Malgun Gothic"/>
                <w:sz w:val="19"/>
                <w:szCs w:val="19"/>
                <w:rtl w:val="0"/>
              </w:rPr>
              <w:t xml:space="preserve">총 100점 (가설 20점 / 변인 30점 / 과정 50점)</w:t>
            </w:r>
            <w:r w:rsidDel="00000000" w:rsidR="00000000" w:rsidRPr="00000000">
              <w:rPr>
                <w:rtl w:val="0"/>
              </w:rPr>
            </w:r>
          </w:p>
        </w:tc>
      </w:tr>
    </w:tbl>
    <w:p w:rsidR="00000000" w:rsidDel="00000000" w:rsidP="00000000" w:rsidRDefault="00000000" w:rsidRPr="00000000" w14:paraId="0000001D">
      <w:pPr>
        <w:spacing w:after="0" w:lineRule="auto"/>
        <w:ind w:firstLine="0"/>
        <w:rPr/>
      </w:pPr>
      <w:r w:rsidDel="00000000" w:rsidR="00000000" w:rsidRPr="00000000">
        <w:rPr>
          <w:rtl w:val="0"/>
        </w:rPr>
      </w:r>
    </w:p>
    <w:p w:rsidR="00000000" w:rsidDel="00000000" w:rsidP="00000000" w:rsidRDefault="00000000" w:rsidRPr="00000000" w14:paraId="0000001E">
      <w:pPr>
        <w:ind w:firstLine="0"/>
        <w:rPr/>
      </w:pPr>
      <w:r w:rsidDel="00000000" w:rsidR="00000000" w:rsidRPr="00000000">
        <w:rPr>
          <w:rFonts w:ascii="Malgun Gothic" w:cs="Malgun Gothic" w:eastAsia="Malgun Gothic" w:hAnsi="Malgun Gothic"/>
          <w:b w:val="1"/>
          <w:bCs w:val="1"/>
          <w:color w:val="2f5496"/>
          <w:sz w:val="22"/>
          <w:szCs w:val="22"/>
          <w:rtl w:val="0"/>
        </w:rPr>
        <w:t xml:space="preserve">가. 성취기준별 성취수준</w:t>
      </w:r>
      <w:r w:rsidDel="00000000" w:rsidR="00000000" w:rsidRPr="00000000">
        <w:rPr>
          <w:rtl w:val="0"/>
        </w:rPr>
      </w:r>
    </w:p>
    <w:tbl>
      <w:tblPr>
        <w:tblStyle w:val="Table2"/>
        <w:tblW w:w="9359.0" w:type="dxa"/>
        <w:jc w:val="center"/>
        <w:tblLayout w:type="fixed"/>
        <w:tblLook w:val="0400"/>
      </w:tblPr>
      <w:tblGrid>
        <w:gridCol w:w="1260"/>
        <w:gridCol w:w="8099"/>
        <w:tblGridChange w:id="0">
          <w:tblGrid>
            <w:gridCol w:w="1260"/>
            <w:gridCol w:w="8099"/>
          </w:tblGrid>
        </w:tblGridChange>
      </w:tblGrid>
      <w:tr>
        <w:trPr>
          <w:cantSplit w:val="0"/>
          <w:tblHeader w:val="0"/>
        </w:trPr>
        <w:tc>
          <w:tcPr>
            <w:tcBorders>
              <w:top w:color="d3d3d3" w:space="0" w:sz="4" w:val="single"/>
              <w:left w:color="d3d3d3" w:space="0" w:sz="4" w:val="single"/>
              <w:bottom w:color="d3d3d3" w:space="0" w:sz="4" w:val="single"/>
              <w:right w:color="d3d3d3" w:space="0" w:sz="4" w:val="single"/>
            </w:tcBorders>
            <w:shd w:fill="2f5496" w:val="clear"/>
            <w:tcMar>
              <w:top w:w="120.0" w:type="dxa"/>
              <w:left w:w="120.0" w:type="dxa"/>
              <w:bottom w:w="120.0" w:type="dxa"/>
              <w:right w:w="120.0" w:type="dxa"/>
            </w:tcMar>
            <w:vAlign w:val="center"/>
          </w:tcPr>
          <w:p w:rsidR="00000000" w:rsidDel="00000000" w:rsidP="00000000" w:rsidRDefault="00000000" w:rsidRPr="00000000" w14:paraId="0000001F">
            <w:pPr>
              <w:ind w:firstLine="0"/>
              <w:jc w:val="center"/>
              <w:rPr/>
            </w:pPr>
            <w:r w:rsidDel="00000000" w:rsidR="00000000" w:rsidRPr="00000000">
              <w:rPr>
                <w:rFonts w:ascii="Malgun Gothic" w:cs="Malgun Gothic" w:eastAsia="Malgun Gothic" w:hAnsi="Malgun Gothic"/>
                <w:b w:val="1"/>
                <w:bCs w:val="1"/>
                <w:color w:val="ffffff"/>
                <w:sz w:val="20"/>
                <w:szCs w:val="20"/>
                <w:rtl w:val="0"/>
              </w:rPr>
              <w:t xml:space="preserve">성취수준</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2f5496" w:val="clear"/>
            <w:tcMar>
              <w:top w:w="120.0" w:type="dxa"/>
              <w:left w:w="120.0" w:type="dxa"/>
              <w:bottom w:w="120.0" w:type="dxa"/>
              <w:right w:w="120.0" w:type="dxa"/>
            </w:tcMar>
            <w:vAlign w:val="center"/>
          </w:tcPr>
          <w:p w:rsidR="00000000" w:rsidDel="00000000" w:rsidP="00000000" w:rsidRDefault="00000000" w:rsidRPr="00000000" w14:paraId="00000020">
            <w:pPr>
              <w:ind w:firstLine="0"/>
              <w:jc w:val="center"/>
              <w:rPr/>
            </w:pPr>
            <w:r w:rsidDel="00000000" w:rsidR="00000000" w:rsidRPr="00000000">
              <w:rPr>
                <w:rFonts w:ascii="Malgun Gothic" w:cs="Malgun Gothic" w:eastAsia="Malgun Gothic" w:hAnsi="Malgun Gothic"/>
                <w:b w:val="1"/>
                <w:bCs w:val="1"/>
                <w:color w:val="ffffff"/>
                <w:sz w:val="20"/>
                <w:szCs w:val="20"/>
                <w:rtl w:val="0"/>
              </w:rPr>
              <w:t xml:space="preserve">성취기준별 성취수준 [9과12-01]</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2f4f8" w:val="clear"/>
            <w:tcMar>
              <w:top w:w="120.0" w:type="dxa"/>
              <w:left w:w="120.0" w:type="dxa"/>
              <w:bottom w:w="120.0" w:type="dxa"/>
              <w:right w:w="120.0" w:type="dxa"/>
            </w:tcMar>
            <w:vAlign w:val="center"/>
          </w:tcPr>
          <w:p w:rsidR="00000000" w:rsidDel="00000000" w:rsidP="00000000" w:rsidRDefault="00000000" w:rsidRPr="00000000" w14:paraId="00000021">
            <w:pPr>
              <w:ind w:firstLine="0"/>
              <w:jc w:val="center"/>
              <w:rPr/>
            </w:pPr>
            <w:r w:rsidDel="00000000" w:rsidR="00000000" w:rsidRPr="00000000">
              <w:rPr>
                <w:rFonts w:ascii="Malgun Gothic" w:cs="Malgun Gothic" w:eastAsia="Malgun Gothic" w:hAnsi="Malgun Gothic"/>
                <w:b w:val="1"/>
                <w:bCs w:val="1"/>
                <w:sz w:val="20"/>
                <w:szCs w:val="20"/>
                <w:rtl w:val="0"/>
              </w:rPr>
              <w:t xml:space="preserve">A</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22">
            <w:pPr>
              <w:ind w:firstLine="0"/>
              <w:rPr/>
            </w:pPr>
            <w:r w:rsidDel="00000000" w:rsidR="00000000" w:rsidRPr="00000000">
              <w:rPr>
                <w:rFonts w:ascii="Malgun Gothic" w:cs="Malgun Gothic" w:eastAsia="Malgun Gothic" w:hAnsi="Malgun Gothic"/>
                <w:sz w:val="19"/>
                <w:szCs w:val="19"/>
                <w:rtl w:val="0"/>
              </w:rPr>
              <w:t xml:space="preserve">광합성 과정을 이해하고, 환경 요인과 광합성의 관계를 탐구하기 위해 독립 변인과 종속 변인을 구분하여 실험을 설계하고 그 결과를 종합할 수 있다.</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2f4f8" w:val="clear"/>
            <w:tcMar>
              <w:top w:w="120.0" w:type="dxa"/>
              <w:left w:w="120.0" w:type="dxa"/>
              <w:bottom w:w="120.0" w:type="dxa"/>
              <w:right w:w="120.0" w:type="dxa"/>
            </w:tcMar>
            <w:vAlign w:val="center"/>
          </w:tcPr>
          <w:p w:rsidR="00000000" w:rsidDel="00000000" w:rsidP="00000000" w:rsidRDefault="00000000" w:rsidRPr="00000000" w14:paraId="00000023">
            <w:pPr>
              <w:ind w:firstLine="0"/>
              <w:jc w:val="center"/>
              <w:rPr/>
            </w:pPr>
            <w:r w:rsidDel="00000000" w:rsidR="00000000" w:rsidRPr="00000000">
              <w:rPr>
                <w:rFonts w:ascii="Malgun Gothic" w:cs="Malgun Gothic" w:eastAsia="Malgun Gothic" w:hAnsi="Malgun Gothic"/>
                <w:b w:val="1"/>
                <w:bCs w:val="1"/>
                <w:sz w:val="20"/>
                <w:szCs w:val="20"/>
                <w:rtl w:val="0"/>
              </w:rPr>
              <w:t xml:space="preserve">B</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24">
            <w:pPr>
              <w:ind w:firstLine="0"/>
              <w:rPr/>
            </w:pPr>
            <w:r w:rsidDel="00000000" w:rsidR="00000000" w:rsidRPr="00000000">
              <w:rPr>
                <w:rFonts w:ascii="Malgun Gothic" w:cs="Malgun Gothic" w:eastAsia="Malgun Gothic" w:hAnsi="Malgun Gothic"/>
                <w:sz w:val="19"/>
                <w:szCs w:val="19"/>
                <w:rtl w:val="0"/>
              </w:rPr>
              <w:t xml:space="preserve">광합성 과정을 이해하고, 환경 요인과 광합성의 관계를 알아보는 실험에서 독립 변인과 종속 변인을 구분하며, 적절한 실험 도구를 선택하여 실험을 설계할 수 있다.</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2f4f8" w:val="clear"/>
            <w:tcMar>
              <w:top w:w="120.0" w:type="dxa"/>
              <w:left w:w="120.0" w:type="dxa"/>
              <w:bottom w:w="120.0" w:type="dxa"/>
              <w:right w:w="120.0" w:type="dxa"/>
            </w:tcMar>
            <w:vAlign w:val="center"/>
          </w:tcPr>
          <w:p w:rsidR="00000000" w:rsidDel="00000000" w:rsidP="00000000" w:rsidRDefault="00000000" w:rsidRPr="00000000" w14:paraId="00000025">
            <w:pPr>
              <w:ind w:firstLine="0"/>
              <w:jc w:val="center"/>
              <w:rPr/>
            </w:pPr>
            <w:r w:rsidDel="00000000" w:rsidR="00000000" w:rsidRPr="00000000">
              <w:rPr>
                <w:rFonts w:ascii="Malgun Gothic" w:cs="Malgun Gothic" w:eastAsia="Malgun Gothic" w:hAnsi="Malgun Gothic"/>
                <w:b w:val="1"/>
                <w:bCs w:val="1"/>
                <w:sz w:val="20"/>
                <w:szCs w:val="20"/>
                <w:rtl w:val="0"/>
              </w:rPr>
              <w:t xml:space="preserve">C</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26">
            <w:pPr>
              <w:ind w:firstLine="0"/>
              <w:rPr/>
            </w:pPr>
            <w:r w:rsidDel="00000000" w:rsidR="00000000" w:rsidRPr="00000000">
              <w:rPr>
                <w:rFonts w:ascii="Malgun Gothic" w:cs="Malgun Gothic" w:eastAsia="Malgun Gothic" w:hAnsi="Malgun Gothic"/>
                <w:sz w:val="19"/>
                <w:szCs w:val="19"/>
                <w:rtl w:val="0"/>
              </w:rPr>
              <w:t xml:space="preserve">광합성에 영향을 미치는 환경 요인을 말하고, 이와 광합성의 관계를 탐구하는 실험에서 독립 변인과 종속 변인을 구분하여 실험을 수행하고 그 결과를 정리할 수 있다.</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2f4f8" w:val="clear"/>
            <w:tcMar>
              <w:top w:w="120.0" w:type="dxa"/>
              <w:left w:w="120.0" w:type="dxa"/>
              <w:bottom w:w="120.0" w:type="dxa"/>
              <w:right w:w="120.0" w:type="dxa"/>
            </w:tcMar>
            <w:vAlign w:val="center"/>
          </w:tcPr>
          <w:p w:rsidR="00000000" w:rsidDel="00000000" w:rsidP="00000000" w:rsidRDefault="00000000" w:rsidRPr="00000000" w14:paraId="00000027">
            <w:pPr>
              <w:ind w:firstLine="0"/>
              <w:jc w:val="center"/>
              <w:rPr/>
            </w:pPr>
            <w:r w:rsidDel="00000000" w:rsidR="00000000" w:rsidRPr="00000000">
              <w:rPr>
                <w:rFonts w:ascii="Malgun Gothic" w:cs="Malgun Gothic" w:eastAsia="Malgun Gothic" w:hAnsi="Malgun Gothic"/>
                <w:b w:val="1"/>
                <w:bCs w:val="1"/>
                <w:sz w:val="20"/>
                <w:szCs w:val="20"/>
                <w:rtl w:val="0"/>
              </w:rPr>
              <w:t xml:space="preserve">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28">
            <w:pPr>
              <w:ind w:firstLine="0"/>
              <w:rPr/>
            </w:pPr>
            <w:r w:rsidDel="00000000" w:rsidR="00000000" w:rsidRPr="00000000">
              <w:rPr>
                <w:rFonts w:ascii="Malgun Gothic" w:cs="Malgun Gothic" w:eastAsia="Malgun Gothic" w:hAnsi="Malgun Gothic"/>
                <w:sz w:val="19"/>
                <w:szCs w:val="19"/>
                <w:rtl w:val="0"/>
              </w:rPr>
              <w:t xml:space="preserve">광합성에 필요한 물질과 산물 확인 실험을 수행하여 필요한 물질과 생성물질을 구별하여 그 결과를 정리하고 설명할 수 있다.</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2f4f8" w:val="clear"/>
            <w:tcMar>
              <w:top w:w="120.0" w:type="dxa"/>
              <w:left w:w="120.0" w:type="dxa"/>
              <w:bottom w:w="120.0" w:type="dxa"/>
              <w:right w:w="120.0" w:type="dxa"/>
            </w:tcMar>
            <w:vAlign w:val="center"/>
          </w:tcPr>
          <w:p w:rsidR="00000000" w:rsidDel="00000000" w:rsidP="00000000" w:rsidRDefault="00000000" w:rsidRPr="00000000" w14:paraId="00000029">
            <w:pPr>
              <w:ind w:firstLine="0"/>
              <w:jc w:val="center"/>
              <w:rPr/>
            </w:pPr>
            <w:r w:rsidDel="00000000" w:rsidR="00000000" w:rsidRPr="00000000">
              <w:rPr>
                <w:rFonts w:ascii="Malgun Gothic" w:cs="Malgun Gothic" w:eastAsia="Malgun Gothic" w:hAnsi="Malgun Gothic"/>
                <w:b w:val="1"/>
                <w:bCs w:val="1"/>
                <w:sz w:val="20"/>
                <w:szCs w:val="20"/>
                <w:rtl w:val="0"/>
              </w:rPr>
              <w:t xml:space="preserve">E</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2A">
            <w:pPr>
              <w:ind w:firstLine="0"/>
              <w:rPr/>
            </w:pPr>
            <w:r w:rsidDel="00000000" w:rsidR="00000000" w:rsidRPr="00000000">
              <w:rPr>
                <w:rFonts w:ascii="Malgun Gothic" w:cs="Malgun Gothic" w:eastAsia="Malgun Gothic" w:hAnsi="Malgun Gothic"/>
                <w:sz w:val="19"/>
                <w:szCs w:val="19"/>
                <w:rtl w:val="0"/>
              </w:rPr>
              <w:t xml:space="preserve">식물이 광합성을 통해 만들어 내는 물질을 말하고, 광합성에 필요한 물질과 산물 확인 실험을 주어진 절차대로 수행할 수 있다.</w:t>
            </w:r>
            <w:r w:rsidDel="00000000" w:rsidR="00000000" w:rsidRPr="00000000">
              <w:rPr>
                <w:rtl w:val="0"/>
              </w:rPr>
            </w:r>
          </w:p>
        </w:tc>
      </w:tr>
    </w:tbl>
    <w:p w:rsidR="00000000" w:rsidDel="00000000" w:rsidP="00000000" w:rsidRDefault="00000000" w:rsidRPr="00000000" w14:paraId="0000002B">
      <w:pPr>
        <w:spacing w:after="0" w:lineRule="auto"/>
        <w:ind w:firstLine="0"/>
        <w:rPr/>
      </w:pPr>
      <w:r w:rsidDel="00000000" w:rsidR="00000000" w:rsidRPr="00000000">
        <w:rPr>
          <w:rtl w:val="0"/>
        </w:rPr>
      </w:r>
    </w:p>
    <w:p w:rsidR="00000000" w:rsidDel="00000000" w:rsidP="00000000" w:rsidRDefault="00000000" w:rsidRPr="00000000" w14:paraId="0000002C">
      <w:pPr>
        <w:ind w:firstLine="0"/>
        <w:rPr/>
      </w:pPr>
      <w:r w:rsidDel="00000000" w:rsidR="00000000" w:rsidRPr="00000000">
        <w:rPr>
          <w:rFonts w:ascii="Malgun Gothic" w:cs="Malgun Gothic" w:eastAsia="Malgun Gothic" w:hAnsi="Malgun Gothic"/>
          <w:b w:val="1"/>
          <w:bCs w:val="1"/>
          <w:color w:val="2f5496"/>
          <w:sz w:val="22"/>
          <w:szCs w:val="22"/>
          <w:rtl w:val="0"/>
        </w:rPr>
        <w:t xml:space="preserve">나. 개발 방향 및 활용 시 고려사항</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본 평가는 2022 개정 교육과정 중학교 과학과의 [9과12-01] 성취기준에 맞춰 개발된 개별 서·논술형 평가 도구이다. 실제적인 실험을 직접 수행하기 전 단계로서, 실험 설계를 이론적·체계적으로 구성하고 변인을 올바르게 제어하는</w:t>
      </w: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 ‘과학적 탐구 능력’과 ‘논리적 사고력’</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을 평가하는 데 초점을 맞추었다.</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기존의 백지 상태에서의 설계가 유발하는 학업적 중압감을 완화하고 평가의 공정성을 확보하기 위해, [문항 3]에서 탐구 환경 요인(빛의 세기, 이산화 탄소의 농도, 온도)별 실제 사용 가능한 과학 실험 기자재와 준비물 세트를 명확하게 제시하였다. 학생들은 제시된 물리적 준비물을 근거로 상상하여 순차적이고 실현 가능한 실험 프로토콜을 머릿속으로 시뮬레이션하며 구체적인 단계를 설계하게 된다.</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교사의 평가 결과 활용 및 피드백 방안: 가설 설정과 변인 제어에서 정교성이 떨어지거나 실험 과정 설계의 인과관계가 논리적이지 못한 학생들에게는 학습 부진 극복을 위한 처방적 피드백을 제공한다. 변인 구분을 헷갈리는 학생의 경우 ‘독립 변인과 종속 변인의 일상적 비유(예: 공부 시간과 성적)’를 통한 일대일 피드백을 진행하고, 구체적인 절차 서술이 미흡한 학생들에게는 본 평가 도구의 우수 답안 프로토콜을 구조화된 가이드라인으로 제시하여 단계적 정교성을 기르도록 지원한다.</w:t>
      </w:r>
    </w:p>
    <w:p w:rsidR="00000000" w:rsidDel="00000000" w:rsidP="00000000" w:rsidRDefault="00000000" w:rsidRPr="00000000" w14:paraId="00000030">
      <w:pPr>
        <w:spacing w:after="0" w:lineRule="auto"/>
        <w:ind w:firstLine="0"/>
        <w:rPr/>
      </w:pPr>
      <w:r w:rsidDel="00000000" w:rsidR="00000000" w:rsidRPr="00000000">
        <w:rPr>
          <w:rtl w:val="0"/>
        </w:rPr>
      </w:r>
    </w:p>
    <w:p w:rsidR="00000000" w:rsidDel="00000000" w:rsidP="00000000" w:rsidRDefault="00000000" w:rsidRPr="00000000" w14:paraId="00000031">
      <w:pPr>
        <w:spacing w:after="0" w:lineRule="auto"/>
        <w:ind w:firstLine="0"/>
        <w:rPr>
          <w:rFonts w:ascii="Malgun Gothic" w:cs="Malgun Gothic" w:eastAsia="Malgun Gothic" w:hAnsi="Malgun Gothic"/>
          <w:b w:val="1"/>
          <w:bCs w:val="1"/>
          <w:color w:val="2f5496"/>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2">
      <w:pPr>
        <w:ind w:firstLine="0"/>
        <w:rPr/>
      </w:pPr>
      <w:r w:rsidDel="00000000" w:rsidR="00000000" w:rsidRPr="00000000">
        <w:rPr>
          <w:rFonts w:ascii="Malgun Gothic" w:cs="Malgun Gothic" w:eastAsia="Malgun Gothic" w:hAnsi="Malgun Gothic"/>
          <w:b w:val="1"/>
          <w:bCs w:val="1"/>
          <w:color w:val="2f5496"/>
          <w:sz w:val="28"/>
          <w:szCs w:val="28"/>
          <w:rtl w:val="0"/>
        </w:rPr>
        <w:t xml:space="preserve">2. 학생용 수행평가 문항지</w:t>
      </w:r>
      <w:r w:rsidDel="00000000" w:rsidR="00000000" w:rsidRPr="00000000">
        <w:rPr>
          <w:rtl w:val="0"/>
        </w:rPr>
      </w:r>
    </w:p>
    <w:tbl>
      <w:tblPr>
        <w:tblStyle w:val="Table3"/>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rHeight w:val="547" w:hRule="atLeast"/>
          <w:tblHeader w:val="0"/>
        </w:trPr>
        <w:tc>
          <w:tcPr>
            <w:tcBorders>
              <w:top w:color="d3d3d3" w:space="0" w:sz="4" w:val="single"/>
              <w:left w:color="d3d3d3" w:space="0" w:sz="4" w:val="single"/>
              <w:bottom w:color="d3d3d3" w:space="0" w:sz="4" w:val="single"/>
              <w:right w:color="d3d3d3" w:space="0" w:sz="4" w:val="single"/>
            </w:tcBorders>
            <w:shd w:fill="f2f4f8" w:val="clear"/>
            <w:tcMar>
              <w:top w:w="100.0" w:type="dxa"/>
              <w:left w:w="100.0" w:type="dxa"/>
              <w:bottom w:w="100.0" w:type="dxa"/>
              <w:right w:w="100.0" w:type="dxa"/>
            </w:tcMar>
            <w:vAlign w:val="center"/>
          </w:tcPr>
          <w:p w:rsidR="00000000" w:rsidDel="00000000" w:rsidP="00000000" w:rsidRDefault="00000000" w:rsidRPr="00000000" w14:paraId="00000033">
            <w:pPr>
              <w:ind w:firstLine="0"/>
              <w:jc w:val="center"/>
              <w:rPr/>
            </w:pPr>
            <w:r w:rsidDel="00000000" w:rsidR="00000000" w:rsidRPr="00000000">
              <w:rPr>
                <w:rFonts w:ascii="Malgun Gothic" w:cs="Malgun Gothic" w:eastAsia="Malgun Gothic" w:hAnsi="Malgun Gothic"/>
                <w:b w:val="1"/>
                <w:bCs w:val="1"/>
                <w:sz w:val="19"/>
                <w:szCs w:val="19"/>
                <w:rtl w:val="0"/>
              </w:rPr>
              <w:t xml:space="preserve">학번: (              ) </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4f8" w:val="clear"/>
            <w:tcMar>
              <w:top w:w="100.0" w:type="dxa"/>
              <w:left w:w="100.0" w:type="dxa"/>
              <w:bottom w:w="100.0" w:type="dxa"/>
              <w:right w:w="100.0" w:type="dxa"/>
            </w:tcMar>
            <w:vAlign w:val="center"/>
          </w:tcPr>
          <w:p w:rsidR="00000000" w:rsidDel="00000000" w:rsidP="00000000" w:rsidRDefault="00000000" w:rsidRPr="00000000" w14:paraId="00000034">
            <w:pPr>
              <w:ind w:firstLine="0"/>
              <w:jc w:val="center"/>
              <w:rPr/>
            </w:pPr>
            <w:r w:rsidDel="00000000" w:rsidR="00000000" w:rsidRPr="00000000">
              <w:rPr>
                <w:rFonts w:ascii="Malgun Gothic" w:cs="Malgun Gothic" w:eastAsia="Malgun Gothic" w:hAnsi="Malgun Gothic"/>
                <w:b w:val="1"/>
                <w:bCs w:val="1"/>
                <w:sz w:val="19"/>
                <w:szCs w:val="19"/>
                <w:rtl w:val="0"/>
              </w:rPr>
              <w:t xml:space="preserve">이름: (              )</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4f8" w:val="clear"/>
            <w:tcMar>
              <w:top w:w="100.0" w:type="dxa"/>
              <w:left w:w="100.0" w:type="dxa"/>
              <w:bottom w:w="100.0" w:type="dxa"/>
              <w:right w:w="100.0" w:type="dxa"/>
            </w:tcMar>
            <w:vAlign w:val="center"/>
          </w:tcPr>
          <w:p w:rsidR="00000000" w:rsidDel="00000000" w:rsidP="00000000" w:rsidRDefault="00000000" w:rsidRPr="00000000" w14:paraId="00000035">
            <w:pPr>
              <w:ind w:firstLine="0"/>
              <w:jc w:val="center"/>
              <w:rPr/>
            </w:pPr>
            <w:r w:rsidDel="00000000" w:rsidR="00000000" w:rsidRPr="00000000">
              <w:rPr>
                <w:rFonts w:ascii="Malgun Gothic" w:cs="Malgun Gothic" w:eastAsia="Malgun Gothic" w:hAnsi="Malgun Gothic"/>
                <w:b w:val="1"/>
                <w:bCs w:val="1"/>
                <w:sz w:val="19"/>
                <w:szCs w:val="19"/>
                <w:rtl w:val="0"/>
              </w:rPr>
              <w:t xml:space="preserve">모둠명: (               )</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4f8" w:val="clear"/>
            <w:tcMar>
              <w:top w:w="100.0" w:type="dxa"/>
              <w:left w:w="100.0" w:type="dxa"/>
              <w:bottom w:w="100.0" w:type="dxa"/>
              <w:right w:w="100.0" w:type="dxa"/>
            </w:tcMar>
            <w:vAlign w:val="center"/>
          </w:tcPr>
          <w:p w:rsidR="00000000" w:rsidDel="00000000" w:rsidP="00000000" w:rsidRDefault="00000000" w:rsidRPr="00000000" w14:paraId="00000036">
            <w:pPr>
              <w:ind w:firstLine="0"/>
              <w:jc w:val="center"/>
              <w:rPr/>
            </w:pPr>
            <w:r w:rsidDel="00000000" w:rsidR="00000000" w:rsidRPr="00000000">
              <w:rPr>
                <w:rFonts w:ascii="Malgun Gothic" w:cs="Malgun Gothic" w:eastAsia="Malgun Gothic" w:hAnsi="Malgun Gothic"/>
                <w:b w:val="1"/>
                <w:bCs w:val="1"/>
                <w:sz w:val="19"/>
                <w:szCs w:val="19"/>
                <w:rtl w:val="0"/>
              </w:rPr>
              <w:t xml:space="preserve">2026년       월       일</w:t>
            </w:r>
            <w:r w:rsidDel="00000000" w:rsidR="00000000" w:rsidRPr="00000000">
              <w:rPr>
                <w:rtl w:val="0"/>
              </w:rPr>
            </w:r>
          </w:p>
        </w:tc>
      </w:tr>
    </w:tbl>
    <w:p w:rsidR="00000000" w:rsidDel="00000000" w:rsidP="00000000" w:rsidRDefault="00000000" w:rsidRPr="00000000" w14:paraId="00000037">
      <w:pPr>
        <w:ind w:firstLine="0"/>
        <w:rPr/>
      </w:pPr>
      <w:r w:rsidDel="00000000" w:rsidR="00000000" w:rsidRPr="00000000">
        <w:rPr>
          <w:rtl w:val="0"/>
        </w:rPr>
      </w:r>
    </w:p>
    <w:tbl>
      <w:tblPr>
        <w:tblStyle w:val="Table4"/>
        <w:tblW w:w="9360.0" w:type="dxa"/>
        <w:jc w:val="center"/>
        <w:tblLayout w:type="fixed"/>
        <w:tblLook w:val="0400"/>
      </w:tblPr>
      <w:tblGrid>
        <w:gridCol w:w="9360"/>
        <w:tblGridChange w:id="0">
          <w:tblGrid>
            <w:gridCol w:w="9360"/>
          </w:tblGrid>
        </w:tblGridChange>
      </w:tblGrid>
      <w:tr>
        <w:trPr>
          <w:cantSplit w:val="0"/>
          <w:tblHeader w:val="0"/>
        </w:trPr>
        <w:tc>
          <w:tcPr>
            <w:tcBorders>
              <w:top w:color="e0e0e0" w:space="0" w:sz="4" w:val="single"/>
              <w:left w:color="2f5496" w:space="0" w:sz="24" w:val="single"/>
              <w:bottom w:color="e0e0e0" w:space="0" w:sz="4" w:val="single"/>
              <w:right w:color="e0e0e0" w:space="0" w:sz="4" w:val="single"/>
            </w:tcBorders>
            <w:shd w:fill="fafafa" w:val="clear"/>
            <w:tcMar>
              <w:top w:w="180.0" w:type="dxa"/>
              <w:left w:w="180.0" w:type="dxa"/>
              <w:bottom w:w="180.0" w:type="dxa"/>
              <w:right w:w="180.0" w:type="dxa"/>
            </w:tcMar>
          </w:tcPr>
          <w:p w:rsidR="00000000" w:rsidDel="00000000" w:rsidP="00000000" w:rsidRDefault="00000000" w:rsidRPr="00000000" w14:paraId="00000038">
            <w:pPr>
              <w:spacing w:line="300" w:lineRule="auto"/>
              <w:ind w:firstLine="0"/>
              <w:rPr/>
            </w:pPr>
            <w:r w:rsidDel="00000000" w:rsidR="00000000" w:rsidRPr="00000000">
              <w:rPr>
                <w:rFonts w:ascii="Malgun Gothic" w:cs="Malgun Gothic" w:eastAsia="Malgun Gothic" w:hAnsi="Malgun Gothic"/>
                <w:b w:val="1"/>
                <w:bCs w:val="1"/>
                <w:color w:val="2f5496"/>
                <w:sz w:val="22"/>
                <w:szCs w:val="22"/>
                <w:rtl w:val="0"/>
              </w:rPr>
              <w:t xml:space="preserve">【수행평가 탐구 상황 제시】</w:t>
              <w:br w:type="textWrapping"/>
            </w:r>
            <w:r w:rsidDel="00000000" w:rsidR="00000000" w:rsidRPr="00000000">
              <w:rPr>
                <w:rFonts w:ascii="Malgun Gothic" w:cs="Malgun Gothic" w:eastAsia="Malgun Gothic" w:hAnsi="Malgun Gothic"/>
                <w:sz w:val="20"/>
                <w:szCs w:val="20"/>
                <w:rtl w:val="0"/>
              </w:rPr>
              <w:t xml:space="preserve">민수네 모둠은 스마트팜에서 채소를 대량으로 재배하는 과정을 관찰하던 중, 비가 많이 와서 흐린 날이나 일조량이 적은 겨울철에도 식물이 활발하게 자라도록 유도하기 위해 스마트팜 내부의 세부 환경 요인을 어떻게 인위적으로 통제하고 관리해주어야 하는지 깊은 의문이 생겼습니다. 식물이 생장하고 건강한 열매를 맺기 위해서는 세포 내부의 엽록체에서 광합성이 원활하게 일어나 생명활동에 필수적인 포도당과 녹말 같은 양분을 조화롭게 만들어내야 합니다.</w:t>
              <w:br w:type="textWrapping"/>
              <w:br w:type="textWrapping"/>
              <w:t xml:space="preserve">광합성에 결정적인 영향을 미치는 주요 세 가지 환경 요인인 「빛의 세기」, 「이산화 탄소의 농도」, 「온도」 중에서 자신이 과학적으로 검증하고 규명해보고 싶은 환경 요인을 딱 한 가지 선택하고, 해당 요인과 식물의 광합성량 사이의 관계를 체계적으로 탐구할 수 있도록 아래의 단계별 서·논술형 문항에 맞추어 창의적이고 타당성 있는 실험 설계 보고서를 작성해 봅시다.</w:t>
            </w:r>
            <w:r w:rsidDel="00000000" w:rsidR="00000000" w:rsidRPr="00000000">
              <w:rPr>
                <w:rtl w:val="0"/>
              </w:rPr>
            </w:r>
          </w:p>
        </w:tc>
      </w:tr>
    </w:tbl>
    <w:p w:rsidR="00000000" w:rsidDel="00000000" w:rsidP="00000000" w:rsidRDefault="00000000" w:rsidRPr="00000000" w14:paraId="00000039">
      <w:pPr>
        <w:spacing w:after="0" w:lineRule="auto"/>
        <w:ind w:firstLine="0"/>
        <w:rPr/>
      </w:pPr>
      <w:r w:rsidDel="00000000" w:rsidR="00000000" w:rsidRPr="00000000">
        <w:rPr>
          <w:rtl w:val="0"/>
        </w:rPr>
      </w:r>
    </w:p>
    <w:p w:rsidR="00000000" w:rsidDel="00000000" w:rsidP="00000000" w:rsidRDefault="00000000" w:rsidRPr="00000000" w14:paraId="0000003A">
      <w:pPr>
        <w:spacing w:after="0" w:lineRule="auto"/>
        <w:ind w:firstLine="0"/>
        <w:rPr/>
      </w:pPr>
      <w:r w:rsidDel="00000000" w:rsidR="00000000" w:rsidRPr="00000000">
        <w:rPr>
          <w:rFonts w:ascii="Malgun Gothic" w:cs="Malgun Gothic" w:eastAsia="Malgun Gothic" w:hAnsi="Malgun Gothic"/>
          <w:b w:val="1"/>
          <w:bCs w:val="1"/>
          <w:color w:val="2f5496"/>
          <w:sz w:val="22"/>
          <w:szCs w:val="22"/>
          <w:rtl w:val="0"/>
        </w:rPr>
        <w:t xml:space="preserve">[문항 1] 탐구 가설 설정하기 (20점)</w:t>
      </w:r>
      <w:r w:rsidDel="00000000" w:rsidR="00000000" w:rsidRPr="00000000">
        <w:rPr>
          <w:rtl w:val="0"/>
        </w:rPr>
      </w:r>
    </w:p>
    <w:p w:rsidR="00000000" w:rsidDel="00000000" w:rsidP="00000000" w:rsidRDefault="00000000" w:rsidRPr="00000000" w14:paraId="0000003B">
      <w:pPr>
        <w:ind w:firstLine="0"/>
        <w:rPr/>
      </w:pPr>
      <w:r w:rsidDel="00000000" w:rsidR="00000000" w:rsidRPr="00000000">
        <w:rPr>
          <w:rFonts w:ascii="Malgun Gothic" w:cs="Malgun Gothic" w:eastAsia="Malgun Gothic" w:hAnsi="Malgun Gothic"/>
          <w:sz w:val="20"/>
          <w:szCs w:val="20"/>
          <w:rtl w:val="0"/>
        </w:rPr>
        <w:t xml:space="preserve">자신이 검증하고자 선택한 환경 요인(빛의 세기, 이산화 탄소의 농도, 온도 중 1가지 자율 선택)을 명확히 제시하고, 그 환경 요인(독립 변인)의 변화에 따라 식물의 광합성량(종속 변인)이 어떻게 변할 것인지에 대하여 원인과 결과의 과학적 인과관계 및 변화의 방향성(경향성)이 뚜렷하게 드러나도록 검증 가능한 형태의 완결된 가설을 서술하시오.</w:t>
      </w:r>
      <w:r w:rsidDel="00000000" w:rsidR="00000000" w:rsidRPr="00000000">
        <w:rPr>
          <w:rtl w:val="0"/>
        </w:rPr>
      </w:r>
    </w:p>
    <w:tbl>
      <w:tblPr>
        <w:tblStyle w:val="Table5"/>
        <w:tblW w:w="9360.0" w:type="dxa"/>
        <w:jc w:val="center"/>
        <w:tblLayout w:type="fixed"/>
        <w:tblLook w:val="04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tcMar>
              <w:top w:w="140.0" w:type="dxa"/>
              <w:left w:w="140.0" w:type="dxa"/>
              <w:bottom w:w="500.0" w:type="dxa"/>
              <w:right w:w="140.0" w:type="dxa"/>
            </w:tcMar>
          </w:tcPr>
          <w:p w:rsidR="00000000" w:rsidDel="00000000" w:rsidP="00000000" w:rsidRDefault="00000000" w:rsidRPr="00000000" w14:paraId="0000003C">
            <w:pPr>
              <w:ind w:firstLine="0"/>
              <w:rPr/>
            </w:pPr>
            <w:r w:rsidDel="00000000" w:rsidR="00000000" w:rsidRPr="00000000">
              <w:rPr>
                <w:rFonts w:ascii="Malgun Gothic" w:cs="Malgun Gothic" w:eastAsia="Malgun Gothic" w:hAnsi="Malgun Gothic"/>
                <w:color w:val="a0a0a0"/>
                <w:sz w:val="19"/>
                <w:szCs w:val="19"/>
                <w:rtl w:val="0"/>
              </w:rPr>
              <w:t xml:space="preserve">▶ 선택한 환경 요인: </w:t>
              <w:br w:type="textWrapping"/>
              <w:br w:type="textWrapping"/>
              <w:t xml:space="preserve">▶ 설정한 가설 서술란: </w:t>
            </w:r>
            <w:r w:rsidDel="00000000" w:rsidR="00000000" w:rsidRPr="00000000">
              <w:rPr>
                <w:rtl w:val="0"/>
              </w:rPr>
            </w:r>
          </w:p>
        </w:tc>
      </w:tr>
    </w:tbl>
    <w:p w:rsidR="00000000" w:rsidDel="00000000" w:rsidP="00000000" w:rsidRDefault="00000000" w:rsidRPr="00000000" w14:paraId="0000003D">
      <w:pPr>
        <w:spacing w:after="0" w:lineRule="auto"/>
        <w:ind w:firstLine="0"/>
        <w:rPr/>
      </w:pPr>
      <w:r w:rsidDel="00000000" w:rsidR="00000000" w:rsidRPr="00000000">
        <w:rPr>
          <w:rtl w:val="0"/>
        </w:rPr>
      </w:r>
    </w:p>
    <w:p w:rsidR="00000000" w:rsidDel="00000000" w:rsidP="00000000" w:rsidRDefault="00000000" w:rsidRPr="00000000" w14:paraId="0000003E">
      <w:pPr>
        <w:spacing w:after="0" w:lineRule="auto"/>
        <w:ind w:firstLine="0"/>
        <w:rPr>
          <w:rFonts w:ascii="Malgun Gothic" w:cs="Malgun Gothic" w:eastAsia="Malgun Gothic" w:hAnsi="Malgun Gothic"/>
          <w:b w:val="1"/>
          <w:bCs w:val="1"/>
          <w:color w:val="2f5496"/>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F">
      <w:pPr>
        <w:spacing w:after="0" w:lineRule="auto"/>
        <w:ind w:firstLine="0"/>
        <w:rPr/>
      </w:pPr>
      <w:r w:rsidDel="00000000" w:rsidR="00000000" w:rsidRPr="00000000">
        <w:rPr>
          <w:rFonts w:ascii="Malgun Gothic" w:cs="Malgun Gothic" w:eastAsia="Malgun Gothic" w:hAnsi="Malgun Gothic"/>
          <w:b w:val="1"/>
          <w:bCs w:val="1"/>
          <w:color w:val="2f5496"/>
          <w:sz w:val="22"/>
          <w:szCs w:val="22"/>
          <w:rtl w:val="0"/>
        </w:rPr>
        <w:t xml:space="preserve">[문항 2] 독립 변인과 종속 변인의 구분 및 변인 통제 계획 수립하기 (30점)</w:t>
      </w:r>
      <w:r w:rsidDel="00000000" w:rsidR="00000000" w:rsidRPr="00000000">
        <w:rPr>
          <w:rtl w:val="0"/>
        </w:rPr>
      </w:r>
    </w:p>
    <w:p w:rsidR="00000000" w:rsidDel="00000000" w:rsidP="00000000" w:rsidRDefault="00000000" w:rsidRPr="00000000" w14:paraId="00000040">
      <w:pPr>
        <w:ind w:firstLine="0"/>
        <w:rPr/>
      </w:pPr>
      <w:r w:rsidDel="00000000" w:rsidR="00000000" w:rsidRPr="00000000">
        <w:rPr>
          <w:rFonts w:ascii="Malgun Gothic" w:cs="Malgun Gothic" w:eastAsia="Malgun Gothic" w:hAnsi="Malgun Gothic"/>
          <w:sz w:val="20"/>
          <w:szCs w:val="20"/>
          <w:rtl w:val="0"/>
        </w:rPr>
        <w:t xml:space="preserve">자신이 설계할 환경요인 탐구 실험에서 다음 두 가지 요구사항에 부합하도록 논술하시오.</w:t>
        <w:br w:type="textWrapping"/>
        <w:t xml:space="preserve">(1) 본 실험의 독립 변인(조작 변인)과 종속 변인을 각각 정의하여 적으시오.</w:t>
        <w:br w:type="textWrapping"/>
        <w:t xml:space="preserve">(2) 실험 결과의 신뢰성과 타당성을 완벽하게 확보하기 위해 실험 과정 내내 일정하게 유지해야 하는 변인(통제 변인)을 최소 3가지 이상 명확하게 제시하고, 각 통제 변인을 실제 실험 과정에서 구체적으로 어떻게 동일하게 유지(통제)할 것인지 세부적인 변인 통제 방안을 각각 서술하시오.</w:t>
      </w:r>
      <w:r w:rsidDel="00000000" w:rsidR="00000000" w:rsidRPr="00000000">
        <w:rPr>
          <w:rtl w:val="0"/>
        </w:rPr>
      </w:r>
    </w:p>
    <w:tbl>
      <w:tblPr>
        <w:tblStyle w:val="Table6"/>
        <w:tblW w:w="9360.0" w:type="dxa"/>
        <w:jc w:val="center"/>
        <w:tblLayout w:type="fixed"/>
        <w:tblLook w:val="04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tcMar>
              <w:top w:w="140.0" w:type="dxa"/>
              <w:left w:w="140.0" w:type="dxa"/>
              <w:bottom w:w="700.0" w:type="dxa"/>
              <w:right w:w="140.0" w:type="dxa"/>
            </w:tcMar>
          </w:tcPr>
          <w:p w:rsidR="00000000" w:rsidDel="00000000" w:rsidP="00000000" w:rsidRDefault="00000000" w:rsidRPr="00000000" w14:paraId="00000041">
            <w:pPr>
              <w:ind w:firstLine="0"/>
              <w:rPr/>
            </w:pPr>
            <w:r w:rsidDel="00000000" w:rsidR="00000000" w:rsidRPr="00000000">
              <w:rPr>
                <w:rFonts w:ascii="Malgun Gothic" w:cs="Malgun Gothic" w:eastAsia="Malgun Gothic" w:hAnsi="Malgun Gothic"/>
                <w:color w:val="a0a0a0"/>
                <w:sz w:val="19"/>
                <w:szCs w:val="19"/>
                <w:rtl w:val="0"/>
              </w:rPr>
              <w:t xml:space="preserve">▶ (1) 변인 구분 및 정의:</w:t>
              <w:br w:type="textWrapping"/>
              <w:t xml:space="preserve">  - 독립 변인(조작 변인</w:t>
            </w:r>
            <w:sdt>
              <w:sdtPr>
                <w:id w:val="1600887064"/>
                <w:tag w:val="goog_rdk_0"/>
              </w:sdtPr>
              <w:sdtContent>
                <w:r w:rsidDel="00000000" w:rsidR="00000000" w:rsidRPr="00000000">
                  <w:rPr>
                    <w:rFonts w:ascii="Arial Unicode MS" w:cs="Arial Unicode MS" w:eastAsia="Arial Unicode MS" w:hAnsi="Arial Unicode MS"/>
                    <w:color w:val="1f1f1f"/>
                    <w:sz w:val="22"/>
                    <w:szCs w:val="22"/>
                    <w:rtl w:val="0"/>
                  </w:rPr>
                  <w:t xml:space="preserve">: ~을 어떻게 다르게 할 것인가?)</w:t>
                </w:r>
              </w:sdtContent>
            </w:sdt>
            <w:r w:rsidDel="00000000" w:rsidR="00000000" w:rsidRPr="00000000">
              <w:rPr>
                <w:rFonts w:ascii="Malgun Gothic" w:cs="Malgun Gothic" w:eastAsia="Malgun Gothic" w:hAnsi="Malgun Gothic"/>
                <w:color w:val="a0a0a0"/>
                <w:sz w:val="19"/>
                <w:szCs w:val="19"/>
                <w:rtl w:val="0"/>
              </w:rPr>
              <w:br w:type="textWrapping"/>
              <w:br w:type="textWrapping"/>
              <w:t xml:space="preserve">  - 종속 변인: </w:t>
            </w:r>
            <w:sdt>
              <w:sdtPr>
                <w:id w:val="-337920502"/>
                <w:tag w:val="goog_rdk_1"/>
              </w:sdtPr>
              <w:sdtContent>
                <w:r w:rsidDel="00000000" w:rsidR="00000000" w:rsidRPr="00000000">
                  <w:rPr>
                    <w:rFonts w:ascii="Arial Unicode MS" w:cs="Arial Unicode MS" w:eastAsia="Arial Unicode MS" w:hAnsi="Arial Unicode MS"/>
                    <w:color w:val="1f1f1f"/>
                    <w:sz w:val="22"/>
                    <w:szCs w:val="22"/>
                    <w:rtl w:val="0"/>
                  </w:rPr>
                  <w:t xml:space="preserve">( ~을 무엇으로 측정할 것인가?)</w:t>
                </w:r>
              </w:sdtContent>
            </w:sdt>
            <w:r w:rsidDel="00000000" w:rsidR="00000000" w:rsidRPr="00000000">
              <w:rPr>
                <w:rFonts w:ascii="Malgun Gothic" w:cs="Malgun Gothic" w:eastAsia="Malgun Gothic" w:hAnsi="Malgun Gothic"/>
                <w:color w:val="a0a0a0"/>
                <w:sz w:val="19"/>
                <w:szCs w:val="19"/>
                <w:rtl w:val="0"/>
              </w:rPr>
              <w:br w:type="textWrapping"/>
              <w:br w:type="textWrapping"/>
              <w:br w:type="textWrapping"/>
              <w:t xml:space="preserve">▶ (2) 통제 변인 설정 및 구체적인 통제 방안 </w:t>
            </w:r>
            <w:sdt>
              <w:sdtPr>
                <w:id w:val="501839996"/>
                <w:tag w:val="goog_rdk_2"/>
              </w:sdtPr>
              <w:sdtContent>
                <w:r w:rsidDel="00000000" w:rsidR="00000000" w:rsidRPr="00000000">
                  <w:rPr>
                    <w:rFonts w:ascii="Arial Unicode MS" w:cs="Arial Unicode MS" w:eastAsia="Arial Unicode MS" w:hAnsi="Arial Unicode MS"/>
                    <w:color w:val="1f1f1f"/>
                    <w:sz w:val="22"/>
                    <w:szCs w:val="22"/>
                    <w:rtl w:val="0"/>
                  </w:rPr>
                  <w:t xml:space="preserve">( 그 외 요인들을 어떻게 같게 유지할 것인가?)</w:t>
                </w:r>
              </w:sdtContent>
            </w:sdt>
            <w:r w:rsidDel="00000000" w:rsidR="00000000" w:rsidRPr="00000000">
              <w:rPr>
                <w:rFonts w:ascii="Malgun Gothic" w:cs="Malgun Gothic" w:eastAsia="Malgun Gothic" w:hAnsi="Malgun Gothic"/>
                <w:color w:val="a0a0a0"/>
                <w:sz w:val="19"/>
                <w:szCs w:val="19"/>
                <w:rtl w:val="0"/>
              </w:rPr>
              <w:br w:type="textWrapping"/>
              <w:t xml:space="preserve">  ① 통제 변인 1:</w:t>
              <w:br w:type="textWrapping"/>
              <w:t xml:space="preserve">     - 구체적 통제 방안:</w:t>
              <w:br w:type="textWrapping"/>
              <w:br w:type="textWrapping"/>
              <w:t xml:space="preserve">  ② 통제 변인 2:</w:t>
              <w:br w:type="textWrapping"/>
              <w:t xml:space="preserve">     - 구체적 통제 방안:</w:t>
              <w:br w:type="textWrapping"/>
              <w:br w:type="textWrapping"/>
              <w:t xml:space="preserve">  ③ 통제 변인 3:</w:t>
              <w:br w:type="textWrapping"/>
              <w:t xml:space="preserve">     - 구체적 통제 방안:</w:t>
            </w:r>
            <w:r w:rsidDel="00000000" w:rsidR="00000000" w:rsidRPr="00000000">
              <w:rPr>
                <w:rtl w:val="0"/>
              </w:rPr>
            </w:r>
          </w:p>
        </w:tc>
      </w:tr>
    </w:tbl>
    <w:p w:rsidR="00000000" w:rsidDel="00000000" w:rsidP="00000000" w:rsidRDefault="00000000" w:rsidRPr="00000000" w14:paraId="00000042">
      <w:pPr>
        <w:spacing w:after="0" w:lineRule="auto"/>
        <w:ind w:firstLine="0"/>
        <w:rPr/>
      </w:pPr>
      <w:r w:rsidDel="00000000" w:rsidR="00000000" w:rsidRPr="00000000">
        <w:rPr>
          <w:rtl w:val="0"/>
        </w:rPr>
      </w:r>
    </w:p>
    <w:p w:rsidR="00000000" w:rsidDel="00000000" w:rsidP="00000000" w:rsidRDefault="00000000" w:rsidRPr="00000000" w14:paraId="00000043">
      <w:pPr>
        <w:spacing w:after="0" w:lineRule="auto"/>
        <w:ind w:firstLine="0"/>
        <w:rPr>
          <w:rFonts w:ascii="Malgun Gothic" w:cs="Malgun Gothic" w:eastAsia="Malgun Gothic" w:hAnsi="Malgun Gothic"/>
          <w:b w:val="1"/>
          <w:bCs w:val="1"/>
          <w:color w:val="2f5496"/>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4">
      <w:pPr>
        <w:spacing w:after="0" w:lineRule="auto"/>
        <w:ind w:firstLine="0"/>
        <w:rPr/>
      </w:pPr>
      <w:r w:rsidDel="00000000" w:rsidR="00000000" w:rsidRPr="00000000">
        <w:rPr>
          <w:rFonts w:ascii="Malgun Gothic" w:cs="Malgun Gothic" w:eastAsia="Malgun Gothic" w:hAnsi="Malgun Gothic"/>
          <w:b w:val="1"/>
          <w:bCs w:val="1"/>
          <w:color w:val="2f5496"/>
          <w:sz w:val="22"/>
          <w:szCs w:val="22"/>
          <w:rtl w:val="0"/>
        </w:rPr>
        <w:t xml:space="preserve">[문항 3] 제공된 준비물을 활용한 탐구 실험 과정 설계하기 (50점)</w:t>
      </w:r>
      <w:r w:rsidDel="00000000" w:rsidR="00000000" w:rsidRPr="00000000">
        <w:rPr>
          <w:rtl w:val="0"/>
        </w:rPr>
      </w:r>
    </w:p>
    <w:p w:rsidR="00000000" w:rsidDel="00000000" w:rsidP="00000000" w:rsidRDefault="00000000" w:rsidRPr="00000000" w14:paraId="00000045">
      <w:pPr>
        <w:ind w:firstLine="0"/>
        <w:rPr/>
      </w:pPr>
      <w:r w:rsidDel="00000000" w:rsidR="00000000" w:rsidRPr="00000000">
        <w:rPr>
          <w:rFonts w:ascii="Malgun Gothic" w:cs="Malgun Gothic" w:eastAsia="Malgun Gothic" w:hAnsi="Malgun Gothic"/>
          <w:sz w:val="20"/>
          <w:szCs w:val="20"/>
          <w:rtl w:val="0"/>
        </w:rPr>
        <w:t xml:space="preserve">실제 과학 탐구에서 사용되는 다음의 기자재 세트를 바탕으로, 본인이 선택한 환경 요인의 가설을 과학적으로 입증하기 위한 구체적인 실험 과정을 설계하여 논리적 단계 순서대로 서술하시오.</w:t>
        <w:br w:type="textWrapping"/>
        <w:t xml:space="preserve">※ 반드시 아래에 자신이 선택한 환경 요인별 제공된 준비물을 모두 사용하여 실험 과정을 설계해야 하며, 실험의 타당성을 높이기 위한 대조군 설정 방식과 오차를 최소화할 수 있는 정량적인 측정 방법(예: 구체적인 측정 시간, 횟수 등)이 과정 속에 객관적으로 드러나도록 상세히 기술하시오.</w:t>
      </w:r>
      <w:r w:rsidDel="00000000" w:rsidR="00000000" w:rsidRPr="00000000">
        <w:rPr>
          <w:rtl w:val="0"/>
        </w:rPr>
      </w:r>
    </w:p>
    <w:tbl>
      <w:tblPr>
        <w:tblStyle w:val="Table7"/>
        <w:tblW w:w="9359.0" w:type="dxa"/>
        <w:jc w:val="center"/>
        <w:tblLayout w:type="fixed"/>
        <w:tblLook w:val="0400"/>
      </w:tblPr>
      <w:tblGrid>
        <w:gridCol w:w="2160"/>
        <w:gridCol w:w="7199"/>
        <w:tblGridChange w:id="0">
          <w:tblGrid>
            <w:gridCol w:w="2160"/>
            <w:gridCol w:w="7199"/>
          </w:tblGrid>
        </w:tblGridChange>
      </w:tblGrid>
      <w:tr>
        <w:trPr>
          <w:cantSplit w:val="0"/>
          <w:tblHeader w:val="0"/>
        </w:trPr>
        <w:tc>
          <w:tcPr>
            <w:tcBorders>
              <w:top w:color="d3d3d3" w:space="0" w:sz="4" w:val="single"/>
              <w:left w:color="d3d3d3" w:space="0" w:sz="4" w:val="single"/>
              <w:bottom w:color="d3d3d3" w:space="0" w:sz="4" w:val="single"/>
              <w:right w:color="d3d3d3" w:space="0" w:sz="4" w:val="single"/>
            </w:tcBorders>
            <w:shd w:fill="2f5496" w:val="clear"/>
            <w:tcMar>
              <w:top w:w="100.0" w:type="dxa"/>
              <w:left w:w="100.0" w:type="dxa"/>
              <w:bottom w:w="100.0" w:type="dxa"/>
              <w:right w:w="100.0" w:type="dxa"/>
            </w:tcMar>
            <w:vAlign w:val="center"/>
          </w:tcPr>
          <w:p w:rsidR="00000000" w:rsidDel="00000000" w:rsidP="00000000" w:rsidRDefault="00000000" w:rsidRPr="00000000" w14:paraId="00000046">
            <w:pPr>
              <w:ind w:firstLine="0"/>
              <w:jc w:val="center"/>
              <w:rPr/>
            </w:pPr>
            <w:r w:rsidDel="00000000" w:rsidR="00000000" w:rsidRPr="00000000">
              <w:rPr>
                <w:rFonts w:ascii="Malgun Gothic" w:cs="Malgun Gothic" w:eastAsia="Malgun Gothic" w:hAnsi="Malgun Gothic"/>
                <w:b w:val="1"/>
                <w:bCs w:val="1"/>
                <w:color w:val="ffffff"/>
                <w:sz w:val="19"/>
                <w:szCs w:val="19"/>
                <w:rtl w:val="0"/>
              </w:rPr>
              <w:t xml:space="preserve">선택 환경 요인</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2f5496" w:val="clear"/>
            <w:tcMar>
              <w:top w:w="100.0" w:type="dxa"/>
              <w:left w:w="100.0" w:type="dxa"/>
              <w:bottom w:w="100.0" w:type="dxa"/>
              <w:right w:w="100.0" w:type="dxa"/>
            </w:tcMar>
            <w:vAlign w:val="center"/>
          </w:tcPr>
          <w:p w:rsidR="00000000" w:rsidDel="00000000" w:rsidP="00000000" w:rsidRDefault="00000000" w:rsidRPr="00000000" w14:paraId="00000047">
            <w:pPr>
              <w:ind w:firstLine="0"/>
              <w:jc w:val="center"/>
              <w:rPr/>
            </w:pPr>
            <w:r w:rsidDel="00000000" w:rsidR="00000000" w:rsidRPr="00000000">
              <w:rPr>
                <w:rFonts w:ascii="Malgun Gothic" w:cs="Malgun Gothic" w:eastAsia="Malgun Gothic" w:hAnsi="Malgun Gothic"/>
                <w:b w:val="1"/>
                <w:bCs w:val="1"/>
                <w:color w:val="ffffff"/>
                <w:sz w:val="19"/>
                <w:szCs w:val="19"/>
                <w:rtl w:val="0"/>
              </w:rPr>
              <w:t xml:space="preserve">제공되는 과학 실험 준비물 세트 (자신이 선택한 요인의 물품을 모두 활용할 것)</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2f4f8" w:val="clear"/>
            <w:tcMar>
              <w:top w:w="100.0" w:type="dxa"/>
              <w:left w:w="100.0" w:type="dxa"/>
              <w:bottom w:w="100.0" w:type="dxa"/>
              <w:right w:w="100.0" w:type="dxa"/>
            </w:tcMar>
            <w:vAlign w:val="center"/>
          </w:tcPr>
          <w:p w:rsidR="00000000" w:rsidDel="00000000" w:rsidP="00000000" w:rsidRDefault="00000000" w:rsidRPr="00000000" w14:paraId="00000048">
            <w:pPr>
              <w:ind w:firstLine="0"/>
              <w:jc w:val="center"/>
              <w:rPr/>
            </w:pPr>
            <w:r w:rsidDel="00000000" w:rsidR="00000000" w:rsidRPr="00000000">
              <w:rPr>
                <w:rFonts w:ascii="Malgun Gothic" w:cs="Malgun Gothic" w:eastAsia="Malgun Gothic" w:hAnsi="Malgun Gothic"/>
                <w:b w:val="1"/>
                <w:bCs w:val="1"/>
                <w:sz w:val="19"/>
                <w:szCs w:val="19"/>
                <w:rtl w:val="0"/>
              </w:rPr>
              <w:t xml:space="preserve">① 빛의 세기</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9">
            <w:pPr>
              <w:ind w:firstLine="0"/>
              <w:rPr/>
            </w:pPr>
            <w:r w:rsidDel="00000000" w:rsidR="00000000" w:rsidRPr="00000000">
              <w:rPr>
                <w:rFonts w:ascii="Malgun Gothic" w:cs="Malgun Gothic" w:eastAsia="Malgun Gothic" w:hAnsi="Malgun Gothic"/>
                <w:sz w:val="18"/>
                <w:szCs w:val="18"/>
                <w:rtl w:val="0"/>
              </w:rPr>
              <w:t xml:space="preserve">시금치 잎, 1% 탄산수소 나트륨 수용액, 주사기(20mL), 비커(100mL) 3개, LED 전등 3개, 30cm 자, 초시계, 펀치(지름 5mm 조각용), 온도계, 물이 담긴 수조(열 차단용)</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2f4f8" w:val="clear"/>
            <w:tcMar>
              <w:top w:w="100.0" w:type="dxa"/>
              <w:left w:w="100.0" w:type="dxa"/>
              <w:bottom w:w="100.0" w:type="dxa"/>
              <w:right w:w="100.0" w:type="dxa"/>
            </w:tcMar>
            <w:vAlign w:val="center"/>
          </w:tcPr>
          <w:p w:rsidR="00000000" w:rsidDel="00000000" w:rsidP="00000000" w:rsidRDefault="00000000" w:rsidRPr="00000000" w14:paraId="0000004A">
            <w:pPr>
              <w:ind w:firstLine="0"/>
              <w:jc w:val="center"/>
              <w:rPr/>
            </w:pPr>
            <w:r w:rsidDel="00000000" w:rsidR="00000000" w:rsidRPr="00000000">
              <w:rPr>
                <w:rFonts w:ascii="Malgun Gothic" w:cs="Malgun Gothic" w:eastAsia="Malgun Gothic" w:hAnsi="Malgun Gothic"/>
                <w:b w:val="1"/>
                <w:bCs w:val="1"/>
                <w:sz w:val="19"/>
                <w:szCs w:val="19"/>
                <w:rtl w:val="0"/>
              </w:rPr>
              <w:t xml:space="preserve">② 이산화 탄소 농도</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B">
            <w:pPr>
              <w:ind w:firstLine="0"/>
              <w:rPr/>
            </w:pPr>
            <w:r w:rsidDel="00000000" w:rsidR="00000000" w:rsidRPr="00000000">
              <w:rPr>
                <w:rFonts w:ascii="Malgun Gothic" w:cs="Malgun Gothic" w:eastAsia="Malgun Gothic" w:hAnsi="Malgun Gothic"/>
                <w:sz w:val="18"/>
                <w:szCs w:val="18"/>
                <w:rtl w:val="0"/>
              </w:rPr>
              <w:t xml:space="preserve">시금치 잎, 밀폐 용기 3개, 디지털 산소 센서 3개, 스마트 기기(MBL 앱 탑재), LED 전등 3개, 어둠상자, 탄산수소 나트륨 수용액(0.5%, 1.5%, 3.0%), 거름종이, 핀셋, 전자저울</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2f4f8" w:val="clear"/>
            <w:tcMar>
              <w:top w:w="100.0" w:type="dxa"/>
              <w:left w:w="100.0" w:type="dxa"/>
              <w:bottom w:w="100.0" w:type="dxa"/>
              <w:right w:w="100.0" w:type="dxa"/>
            </w:tcMar>
            <w:vAlign w:val="center"/>
          </w:tcPr>
          <w:p w:rsidR="00000000" w:rsidDel="00000000" w:rsidP="00000000" w:rsidRDefault="00000000" w:rsidRPr="00000000" w14:paraId="0000004C">
            <w:pPr>
              <w:ind w:firstLine="0"/>
              <w:jc w:val="center"/>
              <w:rPr/>
            </w:pPr>
            <w:r w:rsidDel="00000000" w:rsidR="00000000" w:rsidRPr="00000000">
              <w:rPr>
                <w:rFonts w:ascii="Malgun Gothic" w:cs="Malgun Gothic" w:eastAsia="Malgun Gothic" w:hAnsi="Malgun Gothic"/>
                <w:b w:val="1"/>
                <w:bCs w:val="1"/>
                <w:sz w:val="19"/>
                <w:szCs w:val="19"/>
                <w:rtl w:val="0"/>
              </w:rPr>
              <w:t xml:space="preserve">③ 온도</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D">
            <w:pPr>
              <w:ind w:firstLine="0"/>
              <w:rPr/>
            </w:pPr>
            <w:r w:rsidDel="00000000" w:rsidR="00000000" w:rsidRPr="00000000">
              <w:rPr>
                <w:rFonts w:ascii="Malgun Gothic" w:cs="Malgun Gothic" w:eastAsia="Malgun Gothic" w:hAnsi="Malgun Gothic"/>
                <w:sz w:val="18"/>
                <w:szCs w:val="18"/>
                <w:rtl w:val="0"/>
              </w:rPr>
              <w:t xml:space="preserve">시금치 잎, 1% 탄산수소 나트륨 수용액, 주사기(20mL), 비커(250mL) 3개, LED 전등 3개, 얼음물, 실온의 물, 따뜻한 물(50℃), 온도계 3개, 초시계, 펀치(지름 5mm 조각용)</w:t>
            </w:r>
            <w:r w:rsidDel="00000000" w:rsidR="00000000" w:rsidRPr="00000000">
              <w:rPr>
                <w:rtl w:val="0"/>
              </w:rPr>
            </w:r>
          </w:p>
        </w:tc>
      </w:tr>
    </w:tbl>
    <w:p w:rsidR="00000000" w:rsidDel="00000000" w:rsidP="00000000" w:rsidRDefault="00000000" w:rsidRPr="00000000" w14:paraId="0000004E">
      <w:pPr>
        <w:ind w:firstLine="0"/>
        <w:rPr/>
      </w:pPr>
      <w:r w:rsidDel="00000000" w:rsidR="00000000" w:rsidRPr="00000000">
        <w:rPr>
          <w:rtl w:val="0"/>
        </w:rPr>
      </w:r>
    </w:p>
    <w:tbl>
      <w:tblPr>
        <w:tblStyle w:val="Table8"/>
        <w:tblW w:w="9360.0" w:type="dxa"/>
        <w:jc w:val="center"/>
        <w:tblLayout w:type="fixed"/>
        <w:tblLook w:val="04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tcMar>
              <w:top w:w="140.0" w:type="dxa"/>
              <w:left w:w="140.0" w:type="dxa"/>
              <w:bottom w:w="1200.0" w:type="dxa"/>
              <w:right w:w="140.0" w:type="dxa"/>
            </w:tcMar>
          </w:tcPr>
          <w:p w:rsidR="00000000" w:rsidDel="00000000" w:rsidP="00000000" w:rsidRDefault="00000000" w:rsidRPr="00000000" w14:paraId="0000004F">
            <w:pPr>
              <w:ind w:firstLine="0"/>
              <w:rPr/>
            </w:pPr>
            <w:r w:rsidDel="00000000" w:rsidR="00000000" w:rsidRPr="00000000">
              <w:rPr>
                <w:rFonts w:ascii="Malgun Gothic" w:cs="Malgun Gothic" w:eastAsia="Malgun Gothic" w:hAnsi="Malgun Gothic"/>
                <w:color w:val="a0a0a0"/>
                <w:sz w:val="19"/>
                <w:szCs w:val="19"/>
                <w:rtl w:val="0"/>
              </w:rPr>
              <w:t xml:space="preserve">▶ 제공된 준비물을 활용한 구체적인 탐구 실험 과정 설계안 (번호를 매겨 순차적으로 작성하시오.):</w:t>
              <w:br w:type="textWrapping"/>
              <w:t xml:space="preserve">  1. </w:t>
              <w:br w:type="textWrapping"/>
              <w:br w:type="textWrapping"/>
              <w:t xml:space="preserve">  2. </w:t>
              <w:br w:type="textWrapping"/>
              <w:br w:type="textWrapping"/>
              <w:t xml:space="preserve">  3. </w:t>
              <w:br w:type="textWrapping"/>
              <w:br w:type="textWrapping"/>
              <w:t xml:space="preserve">  4. </w:t>
              <w:br w:type="textWrapping"/>
              <w:br w:type="textWrapping"/>
              <w:t xml:space="preserve">  5. </w:t>
              <w:br w:type="textWrapping"/>
              <w:br w:type="textWrapping"/>
              <w:t xml:space="preserve">  6. </w:t>
            </w:r>
            <w:r w:rsidDel="00000000" w:rsidR="00000000" w:rsidRPr="00000000">
              <w:rPr>
                <w:rtl w:val="0"/>
              </w:rPr>
            </w:r>
          </w:p>
        </w:tc>
      </w:tr>
    </w:tbl>
    <w:p w:rsidR="00000000" w:rsidDel="00000000" w:rsidP="00000000" w:rsidRDefault="00000000" w:rsidRPr="00000000" w14:paraId="00000050">
      <w:pPr>
        <w:spacing w:after="0" w:lineRule="auto"/>
        <w:ind w:firstLine="0"/>
        <w:rPr/>
      </w:pPr>
      <w:r w:rsidDel="00000000" w:rsidR="00000000" w:rsidRPr="00000000">
        <w:rPr>
          <w:rtl w:val="0"/>
        </w:rPr>
      </w:r>
    </w:p>
    <w:p w:rsidR="00000000" w:rsidDel="00000000" w:rsidP="00000000" w:rsidRDefault="00000000" w:rsidRPr="00000000" w14:paraId="00000051">
      <w:pPr>
        <w:spacing w:after="0"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52">
      <w:pPr>
        <w:spacing w:after="0" w:lineRule="auto"/>
        <w:ind w:firstLine="0"/>
        <w:rPr/>
      </w:pPr>
      <w:r w:rsidDel="00000000" w:rsidR="00000000" w:rsidRPr="00000000">
        <w:rPr>
          <w:rFonts w:ascii="Malgun Gothic" w:cs="Malgun Gothic" w:eastAsia="Malgun Gothic" w:hAnsi="Malgun Gothic"/>
          <w:b w:val="1"/>
          <w:bCs w:val="1"/>
          <w:color w:val="2f5496"/>
          <w:sz w:val="28"/>
          <w:szCs w:val="28"/>
          <w:rtl w:val="0"/>
        </w:rPr>
        <w:t xml:space="preserve">3. 채점기준 및 예시 답안 (교사용)</w:t>
      </w:r>
      <w:r w:rsidDel="00000000" w:rsidR="00000000" w:rsidRPr="00000000">
        <w:rPr>
          <w:rtl w:val="0"/>
        </w:rPr>
      </w:r>
    </w:p>
    <w:p w:rsidR="00000000" w:rsidDel="00000000" w:rsidP="00000000" w:rsidRDefault="00000000" w:rsidRPr="00000000" w14:paraId="00000053">
      <w:pPr>
        <w:rPr/>
      </w:pPr>
      <w:r w:rsidDel="00000000" w:rsidR="00000000" w:rsidRPr="00000000">
        <w:rPr>
          <w:rFonts w:ascii="Malgun Gothic" w:cs="Malgun Gothic" w:eastAsia="Malgun Gothic" w:hAnsi="Malgun Gothic"/>
          <w:b w:val="1"/>
          <w:bCs w:val="1"/>
          <w:color w:val="2f5496"/>
          <w:sz w:val="22"/>
          <w:szCs w:val="22"/>
          <w:rtl w:val="0"/>
        </w:rPr>
        <w:t xml:space="preserve">가. 세부 문항별 채점기준표 (총점 100점/기본 40점/미응시 20점)</w:t>
      </w:r>
      <w:r w:rsidDel="00000000" w:rsidR="00000000" w:rsidRPr="00000000">
        <w:rPr>
          <w:rtl w:val="0"/>
        </w:rPr>
      </w:r>
    </w:p>
    <w:tbl>
      <w:tblPr>
        <w:tblStyle w:val="Table9"/>
        <w:tblW w:w="9359.0" w:type="dxa"/>
        <w:jc w:val="center"/>
        <w:tblLayout w:type="fixed"/>
        <w:tblLook w:val="0400"/>
      </w:tblPr>
      <w:tblGrid>
        <w:gridCol w:w="1080"/>
        <w:gridCol w:w="970"/>
        <w:gridCol w:w="1030"/>
        <w:gridCol w:w="6279"/>
        <w:tblGridChange w:id="0">
          <w:tblGrid>
            <w:gridCol w:w="1080"/>
            <w:gridCol w:w="970"/>
            <w:gridCol w:w="1030"/>
            <w:gridCol w:w="6279"/>
          </w:tblGrid>
        </w:tblGridChange>
      </w:tblGrid>
      <w:tr>
        <w:trPr>
          <w:cantSplit w:val="0"/>
          <w:tblHeader w:val="0"/>
        </w:trPr>
        <w:tc>
          <w:tcPr>
            <w:tcBorders>
              <w:top w:color="d3d3d3" w:space="0" w:sz="4" w:val="single"/>
              <w:left w:color="d3d3d3" w:space="0" w:sz="4" w:val="single"/>
              <w:bottom w:color="d3d3d3" w:space="0" w:sz="4" w:val="single"/>
              <w:right w:color="d3d3d3" w:space="0" w:sz="4" w:val="single"/>
            </w:tcBorders>
            <w:shd w:fill="2f5496" w:val="clear"/>
            <w:tcMar>
              <w:top w:w="56.0" w:type="dxa"/>
              <w:left w:w="100.0" w:type="dxa"/>
              <w:bottom w:w="56.0" w:type="dxa"/>
              <w:right w:w="100.0" w:type="dxa"/>
            </w:tcMar>
            <w:vAlign w:val="center"/>
          </w:tcPr>
          <w:p w:rsidR="00000000" w:rsidDel="00000000" w:rsidP="00000000" w:rsidRDefault="00000000" w:rsidRPr="00000000" w14:paraId="00000054">
            <w:pPr>
              <w:spacing w:line="240" w:lineRule="auto"/>
              <w:ind w:firstLine="0"/>
              <w:jc w:val="center"/>
              <w:rPr/>
            </w:pPr>
            <w:r w:rsidDel="00000000" w:rsidR="00000000" w:rsidRPr="00000000">
              <w:rPr>
                <w:rFonts w:ascii="Malgun Gothic" w:cs="Malgun Gothic" w:eastAsia="Malgun Gothic" w:hAnsi="Malgun Gothic"/>
                <w:b w:val="1"/>
                <w:bCs w:val="1"/>
                <w:color w:val="ffffff"/>
                <w:sz w:val="19"/>
                <w:szCs w:val="19"/>
                <w:rtl w:val="0"/>
              </w:rPr>
              <w:t xml:space="preserve">평가 문항</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2f5496" w:val="clear"/>
            <w:tcMar>
              <w:top w:w="56.0" w:type="dxa"/>
              <w:left w:w="100.0" w:type="dxa"/>
              <w:bottom w:w="56.0" w:type="dxa"/>
              <w:right w:w="100.0" w:type="dxa"/>
            </w:tcMar>
            <w:vAlign w:val="center"/>
          </w:tcPr>
          <w:p w:rsidR="00000000" w:rsidDel="00000000" w:rsidP="00000000" w:rsidRDefault="00000000" w:rsidRPr="00000000" w14:paraId="00000055">
            <w:pPr>
              <w:spacing w:line="240" w:lineRule="auto"/>
              <w:ind w:firstLine="0"/>
              <w:jc w:val="center"/>
              <w:rPr/>
            </w:pPr>
            <w:r w:rsidDel="00000000" w:rsidR="00000000" w:rsidRPr="00000000">
              <w:rPr>
                <w:rFonts w:ascii="Malgun Gothic" w:cs="Malgun Gothic" w:eastAsia="Malgun Gothic" w:hAnsi="Malgun Gothic"/>
                <w:b w:val="1"/>
                <w:bCs w:val="1"/>
                <w:color w:val="ffffff"/>
                <w:sz w:val="19"/>
                <w:szCs w:val="19"/>
                <w:rtl w:val="0"/>
              </w:rPr>
              <w:t xml:space="preserve">채점 요소</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2f5496" w:val="clear"/>
            <w:tcMar>
              <w:top w:w="56.0" w:type="dxa"/>
              <w:left w:w="100.0" w:type="dxa"/>
              <w:bottom w:w="56.0" w:type="dxa"/>
              <w:right w:w="100.0" w:type="dxa"/>
            </w:tcMar>
            <w:vAlign w:val="center"/>
          </w:tcPr>
          <w:p w:rsidR="00000000" w:rsidDel="00000000" w:rsidP="00000000" w:rsidRDefault="00000000" w:rsidRPr="00000000" w14:paraId="00000056">
            <w:pPr>
              <w:spacing w:line="240" w:lineRule="auto"/>
              <w:ind w:firstLine="0"/>
              <w:jc w:val="center"/>
              <w:rPr/>
            </w:pPr>
            <w:r w:rsidDel="00000000" w:rsidR="00000000" w:rsidRPr="00000000">
              <w:rPr>
                <w:rFonts w:ascii="Malgun Gothic" w:cs="Malgun Gothic" w:eastAsia="Malgun Gothic" w:hAnsi="Malgun Gothic"/>
                <w:b w:val="1"/>
                <w:bCs w:val="1"/>
                <w:color w:val="ffffff"/>
                <w:sz w:val="19"/>
                <w:szCs w:val="19"/>
                <w:rtl w:val="0"/>
              </w:rPr>
              <w:t xml:space="preserve">배점</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2f5496" w:val="clear"/>
            <w:tcMar>
              <w:top w:w="56.0" w:type="dxa"/>
              <w:left w:w="100.0" w:type="dxa"/>
              <w:bottom w:w="56.0" w:type="dxa"/>
              <w:right w:w="100.0" w:type="dxa"/>
            </w:tcMar>
            <w:vAlign w:val="center"/>
          </w:tcPr>
          <w:p w:rsidR="00000000" w:rsidDel="00000000" w:rsidP="00000000" w:rsidRDefault="00000000" w:rsidRPr="00000000" w14:paraId="00000057">
            <w:pPr>
              <w:spacing w:line="240" w:lineRule="auto"/>
              <w:ind w:firstLine="0"/>
              <w:jc w:val="center"/>
              <w:rPr/>
            </w:pPr>
            <w:r w:rsidDel="00000000" w:rsidR="00000000" w:rsidRPr="00000000">
              <w:rPr>
                <w:rFonts w:ascii="Malgun Gothic" w:cs="Malgun Gothic" w:eastAsia="Malgun Gothic" w:hAnsi="Malgun Gothic"/>
                <w:b w:val="1"/>
                <w:bCs w:val="1"/>
                <w:color w:val="ffffff"/>
                <w:sz w:val="19"/>
                <w:szCs w:val="19"/>
                <w:rtl w:val="0"/>
              </w:rPr>
              <w:t xml:space="preserve">평가 기준 및 수행 특성 세부 사항</w:t>
            </w:r>
            <w:r w:rsidDel="00000000" w:rsidR="00000000" w:rsidRPr="00000000">
              <w:rPr>
                <w:rtl w:val="0"/>
              </w:rPr>
            </w:r>
          </w:p>
        </w:tc>
      </w:tr>
      <w:tr>
        <w:trPr>
          <w:cantSplit w:val="0"/>
          <w:tblHeader w:val="0"/>
        </w:trPr>
        <w:tc>
          <w:tcPr>
            <w:vMerge w:val="restart"/>
            <w:tcBorders>
              <w:top w:color="d3d3d3" w:space="0" w:sz="4" w:val="single"/>
              <w:left w:color="d3d3d3" w:space="0" w:sz="4" w:val="single"/>
              <w:bottom w:color="d3d3d3" w:space="0" w:sz="4" w:val="single"/>
              <w:right w:color="d3d3d3" w:space="0" w:sz="4" w:val="single"/>
            </w:tcBorders>
            <w:shd w:fill="f2f4f8" w:val="clear"/>
            <w:tcMar>
              <w:top w:w="56.0" w:type="dxa"/>
              <w:left w:w="100.0" w:type="dxa"/>
              <w:bottom w:w="56.0" w:type="dxa"/>
              <w:right w:w="100.0" w:type="dxa"/>
            </w:tcMar>
            <w:vAlign w:val="center"/>
          </w:tcPr>
          <w:p w:rsidR="00000000" w:rsidDel="00000000" w:rsidP="00000000" w:rsidRDefault="00000000" w:rsidRPr="00000000" w14:paraId="00000058">
            <w:pPr>
              <w:spacing w:after="0" w:lineRule="auto"/>
              <w:ind w:firstLine="0"/>
              <w:jc w:val="center"/>
              <w:rPr/>
            </w:pPr>
            <w:r w:rsidDel="00000000" w:rsidR="00000000" w:rsidRPr="00000000">
              <w:rPr>
                <w:rFonts w:ascii="Malgun Gothic" w:cs="Malgun Gothic" w:eastAsia="Malgun Gothic" w:hAnsi="Malgun Gothic"/>
                <w:b w:val="1"/>
                <w:bCs w:val="1"/>
                <w:sz w:val="19"/>
                <w:szCs w:val="19"/>
                <w:rtl w:val="0"/>
              </w:rPr>
              <w:t xml:space="preserve">문항 1</w:t>
              <w:br w:type="textWrapping"/>
              <w:t xml:space="preserve">(가설 설정)</w:t>
              <w:br w:type="textWrapping"/>
              <w:t xml:space="preserve">[20점]</w:t>
            </w:r>
            <w:r w:rsidDel="00000000" w:rsidR="00000000" w:rsidRPr="00000000">
              <w:rPr>
                <w:rtl w:val="0"/>
              </w:rPr>
            </w:r>
          </w:p>
          <w:p w:rsidR="00000000" w:rsidDel="00000000" w:rsidP="00000000" w:rsidRDefault="00000000" w:rsidRPr="00000000" w14:paraId="00000059">
            <w:pPr>
              <w:spacing w:after="0" w:lineRule="auto"/>
              <w:ind w:firstLine="0"/>
              <w:jc w:val="center"/>
              <w:rPr/>
            </w:pPr>
            <w:r w:rsidDel="00000000" w:rsidR="00000000" w:rsidRPr="00000000">
              <w:rPr>
                <w:rtl w:val="0"/>
              </w:rPr>
            </w:r>
          </w:p>
          <w:p w:rsidR="00000000" w:rsidDel="00000000" w:rsidP="00000000" w:rsidRDefault="00000000" w:rsidRPr="00000000" w14:paraId="0000005A">
            <w:pPr>
              <w:ind w:firstLine="0"/>
              <w:jc w:val="center"/>
              <w:rPr/>
            </w:pPr>
            <w:r w:rsidDel="00000000" w:rsidR="00000000" w:rsidRPr="00000000">
              <w:rPr>
                <w:rtl w:val="0"/>
              </w:rPr>
            </w:r>
          </w:p>
        </w:tc>
        <w:tc>
          <w:tcPr>
            <w:vMerge w:val="restart"/>
            <w:tcBorders>
              <w:top w:color="d3d3d3" w:space="0" w:sz="4" w:val="single"/>
              <w:left w:color="d3d3d3" w:space="0" w:sz="4" w:val="single"/>
              <w:bottom w:color="d3d3d3" w:space="0" w:sz="4" w:val="single"/>
              <w:right w:color="d3d3d3" w:space="0" w:sz="4" w:val="single"/>
            </w:tcBorders>
            <w:tcMar>
              <w:top w:w="56.0" w:type="dxa"/>
              <w:left w:w="100.0" w:type="dxa"/>
              <w:bottom w:w="56.0" w:type="dxa"/>
              <w:right w:w="100.0" w:type="dxa"/>
            </w:tcMar>
            <w:vAlign w:val="center"/>
          </w:tcPr>
          <w:p w:rsidR="00000000" w:rsidDel="00000000" w:rsidP="00000000" w:rsidRDefault="00000000" w:rsidRPr="00000000" w14:paraId="0000005B">
            <w:pPr>
              <w:spacing w:after="0" w:lineRule="auto"/>
              <w:ind w:firstLine="0"/>
              <w:jc w:val="center"/>
              <w:rPr/>
            </w:pPr>
            <w:r w:rsidDel="00000000" w:rsidR="00000000" w:rsidRPr="00000000">
              <w:rPr>
                <w:rFonts w:ascii="Malgun Gothic" w:cs="Malgun Gothic" w:eastAsia="Malgun Gothic" w:hAnsi="Malgun Gothic"/>
                <w:b w:val="1"/>
                <w:bCs w:val="1"/>
                <w:sz w:val="19"/>
                <w:szCs w:val="19"/>
                <w:rtl w:val="0"/>
              </w:rPr>
              <w:t xml:space="preserve">가설의 과학적 타당성 및</w:t>
              <w:br w:type="textWrapping"/>
              <w:t xml:space="preserve">검증 가능성</w:t>
            </w:r>
            <w:r w:rsidDel="00000000" w:rsidR="00000000" w:rsidRPr="00000000">
              <w:rPr>
                <w:rtl w:val="0"/>
              </w:rPr>
            </w:r>
          </w:p>
          <w:p w:rsidR="00000000" w:rsidDel="00000000" w:rsidP="00000000" w:rsidRDefault="00000000" w:rsidRPr="00000000" w14:paraId="0000005C">
            <w:pPr>
              <w:spacing w:after="0" w:lineRule="auto"/>
              <w:ind w:firstLine="0"/>
              <w:jc w:val="center"/>
              <w:rPr/>
            </w:pPr>
            <w:r w:rsidDel="00000000" w:rsidR="00000000" w:rsidRPr="00000000">
              <w:rPr>
                <w:rtl w:val="0"/>
              </w:rPr>
            </w:r>
          </w:p>
          <w:p w:rsidR="00000000" w:rsidDel="00000000" w:rsidP="00000000" w:rsidRDefault="00000000" w:rsidRPr="00000000" w14:paraId="0000005D">
            <w:pPr>
              <w:ind w:firstLine="0"/>
              <w:jc w:val="center"/>
              <w:rPr/>
            </w:pP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4f8" w:val="clear"/>
            <w:tcMar>
              <w:top w:w="56.0" w:type="dxa"/>
              <w:left w:w="100.0" w:type="dxa"/>
              <w:bottom w:w="56.0" w:type="dxa"/>
              <w:right w:w="100.0" w:type="dxa"/>
            </w:tcMar>
            <w:vAlign w:val="center"/>
          </w:tcPr>
          <w:p w:rsidR="00000000" w:rsidDel="00000000" w:rsidP="00000000" w:rsidRDefault="00000000" w:rsidRPr="00000000" w14:paraId="0000005E">
            <w:pPr>
              <w:ind w:firstLine="0"/>
              <w:jc w:val="center"/>
              <w:rPr/>
            </w:pPr>
            <w:r w:rsidDel="00000000" w:rsidR="00000000" w:rsidRPr="00000000">
              <w:rPr>
                <w:rFonts w:ascii="Malgun Gothic" w:cs="Malgun Gothic" w:eastAsia="Malgun Gothic" w:hAnsi="Malgun Gothic"/>
                <w:b w:val="1"/>
                <w:bCs w:val="1"/>
                <w:sz w:val="19"/>
                <w:szCs w:val="19"/>
                <w:rtl w:val="0"/>
              </w:rPr>
              <w:t xml:space="preserve">20점</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56.0" w:type="dxa"/>
              <w:left w:w="100.0" w:type="dxa"/>
              <w:bottom w:w="56.0" w:type="dxa"/>
              <w:right w:w="100.0" w:type="dxa"/>
            </w:tcMar>
            <w:vAlign w:val="center"/>
          </w:tcPr>
          <w:p w:rsidR="00000000" w:rsidDel="00000000" w:rsidP="00000000" w:rsidRDefault="00000000" w:rsidRPr="00000000" w14:paraId="0000005F">
            <w:pPr>
              <w:ind w:firstLine="0"/>
              <w:jc w:val="left"/>
              <w:rPr/>
            </w:pPr>
            <w:r w:rsidDel="00000000" w:rsidR="00000000" w:rsidRPr="00000000">
              <w:rPr>
                <w:rFonts w:ascii="Malgun Gothic" w:cs="Malgun Gothic" w:eastAsia="Malgun Gothic" w:hAnsi="Malgun Gothic"/>
                <w:sz w:val="18"/>
                <w:szCs w:val="18"/>
                <w:rtl w:val="0"/>
              </w:rPr>
              <w:t xml:space="preserve">독립 변인(선택 환경 요인)과 종속 변인(광합성량)이 과학적 원리에 적합하게 정교한 인과관계로 제시되었으며, 실제 실험을 통해 명확히 검증 및 측정 가능한 형태의 완결된 문장으로 서술한 경우.</w:t>
            </w:r>
            <w:r w:rsidDel="00000000" w:rsidR="00000000" w:rsidRPr="00000000">
              <w:rPr>
                <w:rtl w:val="0"/>
              </w:rPr>
            </w:r>
          </w:p>
        </w:tc>
      </w:tr>
      <w:tr>
        <w:trPr>
          <w:cantSplit w:val="0"/>
          <w:tblHeader w:val="0"/>
        </w:trPr>
        <w:tc>
          <w:tcPr>
            <w:vMerge w:val="continue"/>
            <w:tcBorders>
              <w:top w:color="d3d3d3" w:space="0" w:sz="4" w:val="single"/>
              <w:left w:color="d3d3d3" w:space="0" w:sz="4" w:val="single"/>
              <w:bottom w:color="d3d3d3" w:space="0" w:sz="4" w:val="single"/>
              <w:right w:color="d3d3d3" w:space="0" w:sz="4" w:val="single"/>
            </w:tcBorders>
            <w:shd w:fill="f2f4f8" w:val="clear"/>
            <w:tcMar>
              <w:top w:w="56.0" w:type="dxa"/>
              <w:left w:w="100.0" w:type="dxa"/>
              <w:bottom w:w="56.0" w:type="dxa"/>
              <w:right w:w="100.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d3d3d3" w:space="0" w:sz="4" w:val="single"/>
              <w:left w:color="d3d3d3" w:space="0" w:sz="4" w:val="single"/>
              <w:bottom w:color="d3d3d3" w:space="0" w:sz="4" w:val="single"/>
              <w:right w:color="d3d3d3" w:space="0" w:sz="4" w:val="single"/>
            </w:tcBorders>
            <w:tcMar>
              <w:top w:w="56.0" w:type="dxa"/>
              <w:left w:w="100.0" w:type="dxa"/>
              <w:bottom w:w="56.0" w:type="dxa"/>
              <w:right w:w="10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4f8" w:val="clear"/>
            <w:tcMar>
              <w:top w:w="56.0" w:type="dxa"/>
              <w:left w:w="100.0" w:type="dxa"/>
              <w:bottom w:w="56.0" w:type="dxa"/>
              <w:right w:w="100.0" w:type="dxa"/>
            </w:tcMar>
            <w:vAlign w:val="center"/>
          </w:tcPr>
          <w:p w:rsidR="00000000" w:rsidDel="00000000" w:rsidP="00000000" w:rsidRDefault="00000000" w:rsidRPr="00000000" w14:paraId="00000062">
            <w:pPr>
              <w:ind w:firstLine="0"/>
              <w:jc w:val="center"/>
              <w:rPr/>
            </w:pPr>
            <w:r w:rsidDel="00000000" w:rsidR="00000000" w:rsidRPr="00000000">
              <w:rPr>
                <w:rFonts w:ascii="Malgun Gothic" w:cs="Malgun Gothic" w:eastAsia="Malgun Gothic" w:hAnsi="Malgun Gothic"/>
                <w:b w:val="1"/>
                <w:bCs w:val="1"/>
                <w:sz w:val="19"/>
                <w:szCs w:val="19"/>
                <w:rtl w:val="0"/>
              </w:rPr>
              <w:t xml:space="preserve">15점</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56.0" w:type="dxa"/>
              <w:left w:w="100.0" w:type="dxa"/>
              <w:bottom w:w="56.0" w:type="dxa"/>
              <w:right w:w="100.0" w:type="dxa"/>
            </w:tcMar>
            <w:vAlign w:val="center"/>
          </w:tcPr>
          <w:p w:rsidR="00000000" w:rsidDel="00000000" w:rsidP="00000000" w:rsidRDefault="00000000" w:rsidRPr="00000000" w14:paraId="00000063">
            <w:pPr>
              <w:ind w:firstLine="0"/>
              <w:jc w:val="left"/>
              <w:rPr/>
            </w:pPr>
            <w:r w:rsidDel="00000000" w:rsidR="00000000" w:rsidRPr="00000000">
              <w:rPr>
                <w:rFonts w:ascii="Malgun Gothic" w:cs="Malgun Gothic" w:eastAsia="Malgun Gothic" w:hAnsi="Malgun Gothic"/>
                <w:sz w:val="18"/>
                <w:szCs w:val="18"/>
                <w:rtl w:val="0"/>
              </w:rPr>
              <w:t xml:space="preserve">독립 변인과 종속 변인을 모두 서술하였으나, 인과 관계가 모호하거나 변화의 과학적 경향성(증가/감소 등)이 명확히 명시되지 않아 검증하기 불분명한 경우.</w:t>
            </w:r>
            <w:r w:rsidDel="00000000" w:rsidR="00000000" w:rsidRPr="00000000">
              <w:rPr>
                <w:rtl w:val="0"/>
              </w:rPr>
            </w:r>
          </w:p>
        </w:tc>
      </w:tr>
      <w:tr>
        <w:trPr>
          <w:cantSplit w:val="0"/>
          <w:tblHeader w:val="0"/>
        </w:trPr>
        <w:tc>
          <w:tcPr>
            <w:vMerge w:val="continue"/>
            <w:tcBorders>
              <w:top w:color="d3d3d3" w:space="0" w:sz="4" w:val="single"/>
              <w:left w:color="d3d3d3" w:space="0" w:sz="4" w:val="single"/>
              <w:bottom w:color="d3d3d3" w:space="0" w:sz="4" w:val="single"/>
              <w:right w:color="d3d3d3" w:space="0" w:sz="4" w:val="single"/>
            </w:tcBorders>
            <w:shd w:fill="f2f4f8" w:val="clear"/>
            <w:tcMar>
              <w:top w:w="56.0" w:type="dxa"/>
              <w:left w:w="100.0" w:type="dxa"/>
              <w:bottom w:w="56.0" w:type="dxa"/>
              <w:right w:w="10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d3d3d3" w:space="0" w:sz="4" w:val="single"/>
              <w:left w:color="d3d3d3" w:space="0" w:sz="4" w:val="single"/>
              <w:bottom w:color="d3d3d3" w:space="0" w:sz="4" w:val="single"/>
              <w:right w:color="d3d3d3" w:space="0" w:sz="4" w:val="single"/>
            </w:tcBorders>
            <w:tcMar>
              <w:top w:w="56.0" w:type="dxa"/>
              <w:left w:w="100.0" w:type="dxa"/>
              <w:bottom w:w="56.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4f8" w:val="clear"/>
            <w:tcMar>
              <w:top w:w="56.0" w:type="dxa"/>
              <w:left w:w="100.0" w:type="dxa"/>
              <w:bottom w:w="56.0" w:type="dxa"/>
              <w:right w:w="100.0" w:type="dxa"/>
            </w:tcMar>
            <w:vAlign w:val="center"/>
          </w:tcPr>
          <w:p w:rsidR="00000000" w:rsidDel="00000000" w:rsidP="00000000" w:rsidRDefault="00000000" w:rsidRPr="00000000" w14:paraId="00000066">
            <w:pPr>
              <w:ind w:firstLine="0"/>
              <w:jc w:val="center"/>
              <w:rPr/>
            </w:pPr>
            <w:r w:rsidDel="00000000" w:rsidR="00000000" w:rsidRPr="00000000">
              <w:rPr>
                <w:rFonts w:ascii="Malgun Gothic" w:cs="Malgun Gothic" w:eastAsia="Malgun Gothic" w:hAnsi="Malgun Gothic"/>
                <w:b w:val="1"/>
                <w:bCs w:val="1"/>
                <w:sz w:val="19"/>
                <w:szCs w:val="19"/>
                <w:rtl w:val="0"/>
              </w:rPr>
              <w:t xml:space="preserve">10점</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56.0" w:type="dxa"/>
              <w:left w:w="100.0" w:type="dxa"/>
              <w:bottom w:w="56.0" w:type="dxa"/>
              <w:right w:w="100.0" w:type="dxa"/>
            </w:tcMar>
            <w:vAlign w:val="center"/>
          </w:tcPr>
          <w:p w:rsidR="00000000" w:rsidDel="00000000" w:rsidP="00000000" w:rsidRDefault="00000000" w:rsidRPr="00000000" w14:paraId="00000067">
            <w:pPr>
              <w:ind w:firstLine="0"/>
              <w:jc w:val="left"/>
              <w:rPr/>
            </w:pPr>
            <w:r w:rsidDel="00000000" w:rsidR="00000000" w:rsidRPr="00000000">
              <w:rPr>
                <w:rFonts w:ascii="Malgun Gothic" w:cs="Malgun Gothic" w:eastAsia="Malgun Gothic" w:hAnsi="Malgun Gothic"/>
                <w:sz w:val="18"/>
                <w:szCs w:val="18"/>
                <w:rtl w:val="0"/>
              </w:rPr>
              <w:t xml:space="preserve">미제출이거나 과학적 개념이 완전히 오류인 가설을 서술한 경우, 또는 단순 질문 형식을 취한 경우.</w:t>
            </w:r>
            <w:r w:rsidDel="00000000" w:rsidR="00000000" w:rsidRPr="00000000">
              <w:rPr>
                <w:rtl w:val="0"/>
              </w:rPr>
            </w:r>
          </w:p>
        </w:tc>
      </w:tr>
      <w:tr>
        <w:trPr>
          <w:cantSplit w:val="0"/>
          <w:trHeight w:val="1117" w:hRule="atLeast"/>
          <w:tblHeader w:val="0"/>
        </w:trPr>
        <w:tc>
          <w:tcPr>
            <w:vMerge w:val="restart"/>
            <w:tcBorders>
              <w:top w:color="d3d3d3" w:space="0" w:sz="4" w:val="single"/>
              <w:left w:color="d3d3d3" w:space="0" w:sz="4" w:val="single"/>
              <w:bottom w:color="d3d3d3" w:space="0" w:sz="4" w:val="single"/>
              <w:right w:color="d3d3d3" w:space="0" w:sz="4" w:val="single"/>
            </w:tcBorders>
            <w:shd w:fill="f2f4f8" w:val="clear"/>
            <w:tcMar>
              <w:top w:w="56.0" w:type="dxa"/>
              <w:left w:w="100.0" w:type="dxa"/>
              <w:bottom w:w="56.0" w:type="dxa"/>
              <w:right w:w="100.0" w:type="dxa"/>
            </w:tcMar>
            <w:vAlign w:val="center"/>
          </w:tcPr>
          <w:p w:rsidR="00000000" w:rsidDel="00000000" w:rsidP="00000000" w:rsidRDefault="00000000" w:rsidRPr="00000000" w14:paraId="00000068">
            <w:pPr>
              <w:spacing w:after="0" w:lineRule="auto"/>
              <w:ind w:firstLine="0"/>
              <w:jc w:val="center"/>
              <w:rPr/>
            </w:pPr>
            <w:r w:rsidDel="00000000" w:rsidR="00000000" w:rsidRPr="00000000">
              <w:rPr>
                <w:rFonts w:ascii="Malgun Gothic" w:cs="Malgun Gothic" w:eastAsia="Malgun Gothic" w:hAnsi="Malgun Gothic"/>
                <w:b w:val="1"/>
                <w:bCs w:val="1"/>
                <w:sz w:val="19"/>
                <w:szCs w:val="19"/>
                <w:rtl w:val="0"/>
              </w:rPr>
              <w:t xml:space="preserve">문항 2</w:t>
              <w:br w:type="textWrapping"/>
              <w:t xml:space="preserve">(변인 통제)</w:t>
              <w:br w:type="textWrapping"/>
              <w:t xml:space="preserve">[30점]</w:t>
            </w:r>
            <w:r w:rsidDel="00000000" w:rsidR="00000000" w:rsidRPr="00000000">
              <w:rPr>
                <w:rtl w:val="0"/>
              </w:rPr>
            </w:r>
          </w:p>
          <w:p w:rsidR="00000000" w:rsidDel="00000000" w:rsidP="00000000" w:rsidRDefault="00000000" w:rsidRPr="00000000" w14:paraId="00000069">
            <w:pPr>
              <w:spacing w:after="0" w:lineRule="auto"/>
              <w:ind w:firstLine="0"/>
              <w:jc w:val="center"/>
              <w:rPr/>
            </w:pPr>
            <w:r w:rsidDel="00000000" w:rsidR="00000000" w:rsidRPr="00000000">
              <w:rPr>
                <w:rtl w:val="0"/>
              </w:rPr>
            </w:r>
          </w:p>
          <w:p w:rsidR="00000000" w:rsidDel="00000000" w:rsidP="00000000" w:rsidRDefault="00000000" w:rsidRPr="00000000" w14:paraId="0000006A">
            <w:pPr>
              <w:spacing w:after="0" w:lineRule="auto"/>
              <w:ind w:firstLine="0"/>
              <w:jc w:val="center"/>
              <w:rPr/>
            </w:pPr>
            <w:r w:rsidDel="00000000" w:rsidR="00000000" w:rsidRPr="00000000">
              <w:rPr>
                <w:rtl w:val="0"/>
              </w:rPr>
            </w:r>
          </w:p>
          <w:p w:rsidR="00000000" w:rsidDel="00000000" w:rsidP="00000000" w:rsidRDefault="00000000" w:rsidRPr="00000000" w14:paraId="0000006B">
            <w:pPr>
              <w:ind w:firstLine="0"/>
              <w:jc w:val="center"/>
              <w:rPr/>
            </w:pPr>
            <w:r w:rsidDel="00000000" w:rsidR="00000000" w:rsidRPr="00000000">
              <w:rPr>
                <w:rtl w:val="0"/>
              </w:rPr>
            </w:r>
          </w:p>
        </w:tc>
        <w:tc>
          <w:tcPr>
            <w:vMerge w:val="restart"/>
            <w:tcBorders>
              <w:top w:color="d3d3d3" w:space="0" w:sz="4" w:val="single"/>
              <w:left w:color="d3d3d3" w:space="0" w:sz="4" w:val="single"/>
              <w:bottom w:color="d3d3d3" w:space="0" w:sz="4" w:val="single"/>
              <w:right w:color="d3d3d3" w:space="0" w:sz="4" w:val="single"/>
            </w:tcBorders>
            <w:tcMar>
              <w:top w:w="56.0" w:type="dxa"/>
              <w:left w:w="100.0" w:type="dxa"/>
              <w:bottom w:w="56.0" w:type="dxa"/>
              <w:right w:w="100.0" w:type="dxa"/>
            </w:tcMar>
            <w:vAlign w:val="center"/>
          </w:tcPr>
          <w:p w:rsidR="00000000" w:rsidDel="00000000" w:rsidP="00000000" w:rsidRDefault="00000000" w:rsidRPr="00000000" w14:paraId="0000006C">
            <w:pPr>
              <w:spacing w:after="0" w:lineRule="auto"/>
              <w:ind w:firstLine="0"/>
              <w:jc w:val="center"/>
              <w:rPr/>
            </w:pPr>
            <w:r w:rsidDel="00000000" w:rsidR="00000000" w:rsidRPr="00000000">
              <w:rPr>
                <w:rFonts w:ascii="Malgun Gothic" w:cs="Malgun Gothic" w:eastAsia="Malgun Gothic" w:hAnsi="Malgun Gothic"/>
                <w:b w:val="1"/>
                <w:bCs w:val="1"/>
                <w:sz w:val="19"/>
                <w:szCs w:val="19"/>
                <w:rtl w:val="0"/>
              </w:rPr>
              <w:t xml:space="preserve">독립/종속 변인 구분 및 통제 계획</w:t>
            </w:r>
            <w:r w:rsidDel="00000000" w:rsidR="00000000" w:rsidRPr="00000000">
              <w:rPr>
                <w:rtl w:val="0"/>
              </w:rPr>
            </w:r>
          </w:p>
          <w:p w:rsidR="00000000" w:rsidDel="00000000" w:rsidP="00000000" w:rsidRDefault="00000000" w:rsidRPr="00000000" w14:paraId="0000006D">
            <w:pPr>
              <w:spacing w:after="0" w:lineRule="auto"/>
              <w:ind w:firstLine="0"/>
              <w:jc w:val="center"/>
              <w:rPr/>
            </w:pPr>
            <w:r w:rsidDel="00000000" w:rsidR="00000000" w:rsidRPr="00000000">
              <w:rPr>
                <w:rtl w:val="0"/>
              </w:rPr>
            </w:r>
          </w:p>
          <w:p w:rsidR="00000000" w:rsidDel="00000000" w:rsidP="00000000" w:rsidRDefault="00000000" w:rsidRPr="00000000" w14:paraId="0000006E">
            <w:pPr>
              <w:spacing w:after="0" w:lineRule="auto"/>
              <w:ind w:firstLine="0"/>
              <w:jc w:val="center"/>
              <w:rPr/>
            </w:pPr>
            <w:r w:rsidDel="00000000" w:rsidR="00000000" w:rsidRPr="00000000">
              <w:rPr>
                <w:rtl w:val="0"/>
              </w:rPr>
            </w:r>
          </w:p>
          <w:p w:rsidR="00000000" w:rsidDel="00000000" w:rsidP="00000000" w:rsidRDefault="00000000" w:rsidRPr="00000000" w14:paraId="0000006F">
            <w:pPr>
              <w:ind w:firstLine="0"/>
              <w:jc w:val="center"/>
              <w:rPr/>
            </w:pP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4f8" w:val="clear"/>
            <w:tcMar>
              <w:top w:w="56.0" w:type="dxa"/>
              <w:left w:w="100.0" w:type="dxa"/>
              <w:bottom w:w="56.0" w:type="dxa"/>
              <w:right w:w="100.0" w:type="dxa"/>
            </w:tcMar>
            <w:vAlign w:val="center"/>
          </w:tcPr>
          <w:p w:rsidR="00000000" w:rsidDel="00000000" w:rsidP="00000000" w:rsidRDefault="00000000" w:rsidRPr="00000000" w14:paraId="00000070">
            <w:pPr>
              <w:ind w:firstLine="0"/>
              <w:jc w:val="center"/>
              <w:rPr/>
            </w:pPr>
            <w:r w:rsidDel="00000000" w:rsidR="00000000" w:rsidRPr="00000000">
              <w:rPr>
                <w:rFonts w:ascii="Malgun Gothic" w:cs="Malgun Gothic" w:eastAsia="Malgun Gothic" w:hAnsi="Malgun Gothic"/>
                <w:b w:val="1"/>
                <w:bCs w:val="1"/>
                <w:sz w:val="19"/>
                <w:szCs w:val="19"/>
                <w:rtl w:val="0"/>
              </w:rPr>
              <w:t xml:space="preserve">30점</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56.0" w:type="dxa"/>
              <w:left w:w="100.0" w:type="dxa"/>
              <w:bottom w:w="56.0" w:type="dxa"/>
              <w:right w:w="100.0" w:type="dxa"/>
            </w:tcMar>
            <w:vAlign w:val="center"/>
          </w:tcPr>
          <w:p w:rsidR="00000000" w:rsidDel="00000000" w:rsidP="00000000" w:rsidRDefault="00000000" w:rsidRPr="00000000" w14:paraId="00000071">
            <w:pPr>
              <w:ind w:firstLine="0"/>
              <w:jc w:val="left"/>
              <w:rPr/>
            </w:pPr>
            <w:r w:rsidDel="00000000" w:rsidR="00000000" w:rsidRPr="00000000">
              <w:rPr>
                <w:rFonts w:ascii="Malgun Gothic" w:cs="Malgun Gothic" w:eastAsia="Malgun Gothic" w:hAnsi="Malgun Gothic"/>
                <w:sz w:val="18"/>
                <w:szCs w:val="18"/>
                <w:rtl w:val="0"/>
              </w:rPr>
              <w:t xml:space="preserve">독립 변인과 종속 변인을 정확히 식별하여 정의하고, 실험의 신뢰성을 보장하기 위해 일정하게 유지해야 할 타당한 통제 변인을 3가지 이상 구체적으로 제시한 경우.</w:t>
            </w:r>
            <w:r w:rsidDel="00000000" w:rsidR="00000000" w:rsidRPr="00000000">
              <w:rPr>
                <w:rtl w:val="0"/>
              </w:rPr>
            </w:r>
          </w:p>
        </w:tc>
      </w:tr>
      <w:tr>
        <w:trPr>
          <w:cantSplit w:val="0"/>
          <w:tblHeader w:val="0"/>
        </w:trPr>
        <w:tc>
          <w:tcPr>
            <w:vMerge w:val="continue"/>
            <w:tcBorders>
              <w:top w:color="d3d3d3" w:space="0" w:sz="4" w:val="single"/>
              <w:left w:color="d3d3d3" w:space="0" w:sz="4" w:val="single"/>
              <w:bottom w:color="d3d3d3" w:space="0" w:sz="4" w:val="single"/>
              <w:right w:color="d3d3d3" w:space="0" w:sz="4" w:val="single"/>
            </w:tcBorders>
            <w:shd w:fill="f2f4f8" w:val="clear"/>
            <w:tcMar>
              <w:top w:w="56.0" w:type="dxa"/>
              <w:left w:w="100.0" w:type="dxa"/>
              <w:bottom w:w="56.0" w:type="dxa"/>
              <w:right w:w="10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d3d3d3" w:space="0" w:sz="4" w:val="single"/>
              <w:left w:color="d3d3d3" w:space="0" w:sz="4" w:val="single"/>
              <w:bottom w:color="d3d3d3" w:space="0" w:sz="4" w:val="single"/>
              <w:right w:color="d3d3d3" w:space="0" w:sz="4" w:val="single"/>
            </w:tcBorders>
            <w:tcMar>
              <w:top w:w="56.0" w:type="dxa"/>
              <w:left w:w="100.0" w:type="dxa"/>
              <w:bottom w:w="56.0" w:type="dxa"/>
              <w:right w:w="10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4f8" w:val="clear"/>
            <w:tcMar>
              <w:top w:w="56.0" w:type="dxa"/>
              <w:left w:w="100.0" w:type="dxa"/>
              <w:bottom w:w="56.0" w:type="dxa"/>
              <w:right w:w="100.0" w:type="dxa"/>
            </w:tcMar>
            <w:vAlign w:val="center"/>
          </w:tcPr>
          <w:p w:rsidR="00000000" w:rsidDel="00000000" w:rsidP="00000000" w:rsidRDefault="00000000" w:rsidRPr="00000000" w14:paraId="00000074">
            <w:pPr>
              <w:ind w:firstLine="0"/>
              <w:jc w:val="center"/>
              <w:rPr/>
            </w:pPr>
            <w:r w:rsidDel="00000000" w:rsidR="00000000" w:rsidRPr="00000000">
              <w:rPr>
                <w:rFonts w:ascii="Malgun Gothic" w:cs="Malgun Gothic" w:eastAsia="Malgun Gothic" w:hAnsi="Malgun Gothic"/>
                <w:b w:val="1"/>
                <w:bCs w:val="1"/>
                <w:sz w:val="19"/>
                <w:szCs w:val="19"/>
                <w:rtl w:val="0"/>
              </w:rPr>
              <w:t xml:space="preserve">20점</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56.0" w:type="dxa"/>
              <w:left w:w="100.0" w:type="dxa"/>
              <w:bottom w:w="56.0" w:type="dxa"/>
              <w:right w:w="100.0" w:type="dxa"/>
            </w:tcMar>
            <w:vAlign w:val="center"/>
          </w:tcPr>
          <w:p w:rsidR="00000000" w:rsidDel="00000000" w:rsidP="00000000" w:rsidRDefault="00000000" w:rsidRPr="00000000" w14:paraId="00000075">
            <w:pPr>
              <w:ind w:firstLine="0"/>
              <w:jc w:val="left"/>
              <w:rPr/>
            </w:pPr>
            <w:r w:rsidDel="00000000" w:rsidR="00000000" w:rsidRPr="00000000">
              <w:rPr>
                <w:rFonts w:ascii="Malgun Gothic" w:cs="Malgun Gothic" w:eastAsia="Malgun Gothic" w:hAnsi="Malgun Gothic"/>
                <w:sz w:val="18"/>
                <w:szCs w:val="18"/>
                <w:rtl w:val="0"/>
              </w:rPr>
              <w:t xml:space="preserve">독립/종속 변인은 정확히 구분하였으나, 통제 변인의 가짓수가 2가지 이하인 경우.</w:t>
            </w:r>
            <w:r w:rsidDel="00000000" w:rsidR="00000000" w:rsidRPr="00000000">
              <w:rPr>
                <w:rtl w:val="0"/>
              </w:rPr>
            </w:r>
          </w:p>
        </w:tc>
      </w:tr>
      <w:tr>
        <w:trPr>
          <w:cantSplit w:val="0"/>
          <w:trHeight w:val="872" w:hRule="atLeast"/>
          <w:tblHeader w:val="0"/>
        </w:trPr>
        <w:tc>
          <w:tcPr>
            <w:vMerge w:val="continue"/>
            <w:tcBorders>
              <w:top w:color="d3d3d3" w:space="0" w:sz="4" w:val="single"/>
              <w:left w:color="d3d3d3" w:space="0" w:sz="4" w:val="single"/>
              <w:bottom w:color="d3d3d3" w:space="0" w:sz="4" w:val="single"/>
              <w:right w:color="d3d3d3" w:space="0" w:sz="4" w:val="single"/>
            </w:tcBorders>
            <w:shd w:fill="f2f4f8" w:val="clear"/>
            <w:tcMar>
              <w:top w:w="56.0" w:type="dxa"/>
              <w:left w:w="100.0" w:type="dxa"/>
              <w:bottom w:w="56.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d3d3d3" w:space="0" w:sz="4" w:val="single"/>
              <w:left w:color="d3d3d3" w:space="0" w:sz="4" w:val="single"/>
              <w:bottom w:color="d3d3d3" w:space="0" w:sz="4" w:val="single"/>
              <w:right w:color="d3d3d3" w:space="0" w:sz="4" w:val="single"/>
            </w:tcBorders>
            <w:tcMar>
              <w:top w:w="56.0" w:type="dxa"/>
              <w:left w:w="100.0" w:type="dxa"/>
              <w:bottom w:w="56.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3d3d3" w:space="0" w:sz="4" w:val="single"/>
              <w:left w:color="d3d3d3" w:space="0" w:sz="4" w:val="single"/>
              <w:bottom w:color="000000" w:space="0" w:sz="4" w:val="single"/>
              <w:right w:color="d3d3d3" w:space="0" w:sz="4" w:val="single"/>
            </w:tcBorders>
            <w:shd w:fill="f2f4f8" w:val="clear"/>
            <w:tcMar>
              <w:top w:w="56.0" w:type="dxa"/>
              <w:left w:w="100.0" w:type="dxa"/>
              <w:bottom w:w="56.0" w:type="dxa"/>
              <w:right w:w="100.0" w:type="dxa"/>
            </w:tcMar>
            <w:vAlign w:val="center"/>
          </w:tcPr>
          <w:p w:rsidR="00000000" w:rsidDel="00000000" w:rsidP="00000000" w:rsidRDefault="00000000" w:rsidRPr="00000000" w14:paraId="00000078">
            <w:pPr>
              <w:ind w:firstLine="0"/>
              <w:jc w:val="center"/>
              <w:rPr/>
            </w:pPr>
            <w:r w:rsidDel="00000000" w:rsidR="00000000" w:rsidRPr="00000000">
              <w:rPr>
                <w:rFonts w:ascii="Malgun Gothic" w:cs="Malgun Gothic" w:eastAsia="Malgun Gothic" w:hAnsi="Malgun Gothic"/>
                <w:b w:val="1"/>
                <w:bCs w:val="1"/>
                <w:sz w:val="19"/>
                <w:szCs w:val="19"/>
                <w:rtl w:val="0"/>
              </w:rPr>
              <w:t xml:space="preserve">10점</w:t>
            </w:r>
            <w:r w:rsidDel="00000000" w:rsidR="00000000" w:rsidRPr="00000000">
              <w:rPr>
                <w:rtl w:val="0"/>
              </w:rPr>
            </w:r>
          </w:p>
        </w:tc>
        <w:tc>
          <w:tcPr>
            <w:tcBorders>
              <w:top w:color="d3d3d3" w:space="0" w:sz="4" w:val="single"/>
              <w:left w:color="d3d3d3" w:space="0" w:sz="4" w:val="single"/>
              <w:bottom w:color="000000" w:space="0" w:sz="4" w:val="single"/>
              <w:right w:color="d3d3d3" w:space="0" w:sz="4" w:val="single"/>
            </w:tcBorders>
            <w:tcMar>
              <w:top w:w="56.0" w:type="dxa"/>
              <w:left w:w="100.0" w:type="dxa"/>
              <w:bottom w:w="56.0" w:type="dxa"/>
              <w:right w:w="100.0" w:type="dxa"/>
            </w:tcMar>
            <w:vAlign w:val="center"/>
          </w:tcPr>
          <w:p w:rsidR="00000000" w:rsidDel="00000000" w:rsidP="00000000" w:rsidRDefault="00000000" w:rsidRPr="00000000" w14:paraId="00000079">
            <w:pPr>
              <w:ind w:firstLine="0"/>
              <w:jc w:val="left"/>
              <w:rPr/>
            </w:pPr>
            <w:r w:rsidDel="00000000" w:rsidR="00000000" w:rsidRPr="00000000">
              <w:rPr>
                <w:rFonts w:ascii="Malgun Gothic" w:cs="Malgun Gothic" w:eastAsia="Malgun Gothic" w:hAnsi="Malgun Gothic"/>
                <w:sz w:val="18"/>
                <w:szCs w:val="18"/>
                <w:rtl w:val="0"/>
              </w:rPr>
              <w:t xml:space="preserve">변인 구분이 부정확하거나, 통제 변인의 명칭만 단순 나열하고 구체적인 유지 방안을 전혀 제시하지 못한 경우.</w:t>
            </w:r>
            <w:r w:rsidDel="00000000" w:rsidR="00000000" w:rsidRPr="00000000">
              <w:rPr>
                <w:rtl w:val="0"/>
              </w:rPr>
            </w:r>
          </w:p>
        </w:tc>
      </w:tr>
      <w:tr>
        <w:trPr>
          <w:cantSplit w:val="0"/>
          <w:trHeight w:val="759" w:hRule="atLeast"/>
          <w:tblHeader w:val="0"/>
        </w:trPr>
        <w:tc>
          <w:tcPr>
            <w:vMerge w:val="restart"/>
            <w:tcBorders>
              <w:top w:color="d3d3d3" w:space="0" w:sz="4" w:val="single"/>
              <w:left w:color="d3d3d3" w:space="0" w:sz="4" w:val="single"/>
              <w:bottom w:color="d3d3d3" w:space="0" w:sz="4" w:val="single"/>
              <w:right w:color="d3d3d3" w:space="0" w:sz="4" w:val="single"/>
            </w:tcBorders>
            <w:shd w:fill="f2f4f8" w:val="clear"/>
            <w:tcMar>
              <w:top w:w="56.0" w:type="dxa"/>
              <w:left w:w="100.0" w:type="dxa"/>
              <w:bottom w:w="56.0" w:type="dxa"/>
              <w:right w:w="100.0" w:type="dxa"/>
            </w:tcMar>
            <w:vAlign w:val="center"/>
          </w:tcPr>
          <w:p w:rsidR="00000000" w:rsidDel="00000000" w:rsidP="00000000" w:rsidRDefault="00000000" w:rsidRPr="00000000" w14:paraId="0000007A">
            <w:pPr>
              <w:spacing w:after="0" w:lineRule="auto"/>
              <w:ind w:firstLine="0"/>
              <w:jc w:val="center"/>
              <w:rPr/>
            </w:pPr>
            <w:r w:rsidDel="00000000" w:rsidR="00000000" w:rsidRPr="00000000">
              <w:rPr>
                <w:rFonts w:ascii="Malgun Gothic" w:cs="Malgun Gothic" w:eastAsia="Malgun Gothic" w:hAnsi="Malgun Gothic"/>
                <w:b w:val="1"/>
                <w:bCs w:val="1"/>
                <w:sz w:val="19"/>
                <w:szCs w:val="19"/>
                <w:rtl w:val="0"/>
              </w:rPr>
              <w:t xml:space="preserve">문항 3</w:t>
              <w:br w:type="textWrapping"/>
              <w:t xml:space="preserve">(실험 과정 설계)</w:t>
              <w:br w:type="textWrapping"/>
              <w:t xml:space="preserve">[50점]</w:t>
            </w:r>
            <w:r w:rsidDel="00000000" w:rsidR="00000000" w:rsidRPr="00000000">
              <w:rPr>
                <w:rtl w:val="0"/>
              </w:rPr>
            </w:r>
          </w:p>
          <w:p w:rsidR="00000000" w:rsidDel="00000000" w:rsidP="00000000" w:rsidRDefault="00000000" w:rsidRPr="00000000" w14:paraId="0000007B">
            <w:pPr>
              <w:spacing w:after="0" w:lineRule="auto"/>
              <w:ind w:firstLine="0"/>
              <w:jc w:val="center"/>
              <w:rPr/>
            </w:pPr>
            <w:r w:rsidDel="00000000" w:rsidR="00000000" w:rsidRPr="00000000">
              <w:rPr>
                <w:rtl w:val="0"/>
              </w:rPr>
            </w:r>
          </w:p>
          <w:p w:rsidR="00000000" w:rsidDel="00000000" w:rsidP="00000000" w:rsidRDefault="00000000" w:rsidRPr="00000000" w14:paraId="0000007C">
            <w:pPr>
              <w:spacing w:after="0" w:lineRule="auto"/>
              <w:ind w:firstLine="0"/>
              <w:jc w:val="center"/>
              <w:rPr/>
            </w:pPr>
            <w:r w:rsidDel="00000000" w:rsidR="00000000" w:rsidRPr="00000000">
              <w:rPr>
                <w:rtl w:val="0"/>
              </w:rPr>
            </w:r>
          </w:p>
          <w:p w:rsidR="00000000" w:rsidDel="00000000" w:rsidP="00000000" w:rsidRDefault="00000000" w:rsidRPr="00000000" w14:paraId="0000007D">
            <w:pPr>
              <w:ind w:firstLine="0"/>
              <w:jc w:val="center"/>
              <w:rPr/>
            </w:pPr>
            <w:r w:rsidDel="00000000" w:rsidR="00000000" w:rsidRPr="00000000">
              <w:rPr>
                <w:rtl w:val="0"/>
              </w:rPr>
            </w:r>
          </w:p>
        </w:tc>
        <w:tc>
          <w:tcPr>
            <w:vMerge w:val="restart"/>
            <w:tcBorders>
              <w:top w:color="d3d3d3" w:space="0" w:sz="4" w:val="single"/>
              <w:left w:color="d3d3d3" w:space="0" w:sz="4" w:val="single"/>
              <w:bottom w:color="d3d3d3" w:space="0" w:sz="4" w:val="single"/>
              <w:right w:color="d3d3d3" w:space="0" w:sz="4" w:val="single"/>
            </w:tcBorders>
            <w:tcMar>
              <w:top w:w="56.0" w:type="dxa"/>
              <w:left w:w="100.0" w:type="dxa"/>
              <w:bottom w:w="56.0" w:type="dxa"/>
              <w:right w:w="100.0" w:type="dxa"/>
            </w:tcMar>
            <w:vAlign w:val="center"/>
          </w:tcPr>
          <w:p w:rsidR="00000000" w:rsidDel="00000000" w:rsidP="00000000" w:rsidRDefault="00000000" w:rsidRPr="00000000" w14:paraId="0000007E">
            <w:pPr>
              <w:spacing w:after="0" w:lineRule="auto"/>
              <w:ind w:firstLine="0"/>
              <w:jc w:val="center"/>
              <w:rPr/>
            </w:pPr>
            <w:r w:rsidDel="00000000" w:rsidR="00000000" w:rsidRPr="00000000">
              <w:rPr>
                <w:rFonts w:ascii="Malgun Gothic" w:cs="Malgun Gothic" w:eastAsia="Malgun Gothic" w:hAnsi="Malgun Gothic"/>
                <w:b w:val="1"/>
                <w:bCs w:val="1"/>
                <w:sz w:val="19"/>
                <w:szCs w:val="19"/>
                <w:rtl w:val="0"/>
              </w:rPr>
              <w:t xml:space="preserve">설계의 타당성 및 구체성</w:t>
            </w:r>
            <w:r w:rsidDel="00000000" w:rsidR="00000000" w:rsidRPr="00000000">
              <w:rPr>
                <w:rtl w:val="0"/>
              </w:rPr>
            </w:r>
          </w:p>
          <w:p w:rsidR="00000000" w:rsidDel="00000000" w:rsidP="00000000" w:rsidRDefault="00000000" w:rsidRPr="00000000" w14:paraId="0000007F">
            <w:pPr>
              <w:spacing w:after="0" w:lineRule="auto"/>
              <w:ind w:firstLine="0"/>
              <w:jc w:val="center"/>
              <w:rPr/>
            </w:pPr>
            <w:r w:rsidDel="00000000" w:rsidR="00000000" w:rsidRPr="00000000">
              <w:rPr>
                <w:rtl w:val="0"/>
              </w:rPr>
            </w:r>
          </w:p>
          <w:p w:rsidR="00000000" w:rsidDel="00000000" w:rsidP="00000000" w:rsidRDefault="00000000" w:rsidRPr="00000000" w14:paraId="00000080">
            <w:pPr>
              <w:spacing w:after="0" w:lineRule="auto"/>
              <w:ind w:firstLine="0"/>
              <w:jc w:val="center"/>
              <w:rPr/>
            </w:pPr>
            <w:r w:rsidDel="00000000" w:rsidR="00000000" w:rsidRPr="00000000">
              <w:rPr>
                <w:rtl w:val="0"/>
              </w:rPr>
            </w:r>
          </w:p>
          <w:p w:rsidR="00000000" w:rsidDel="00000000" w:rsidP="00000000" w:rsidRDefault="00000000" w:rsidRPr="00000000" w14:paraId="00000081">
            <w:pPr>
              <w:ind w:firstLine="0"/>
              <w:jc w:val="center"/>
              <w:rPr/>
            </w:pP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4f8" w:val="clear"/>
            <w:tcMar>
              <w:top w:w="56.0" w:type="dxa"/>
              <w:left w:w="100.0" w:type="dxa"/>
              <w:bottom w:w="56.0" w:type="dxa"/>
              <w:right w:w="100.0" w:type="dxa"/>
            </w:tcMar>
            <w:vAlign w:val="center"/>
          </w:tcPr>
          <w:p w:rsidR="00000000" w:rsidDel="00000000" w:rsidP="00000000" w:rsidRDefault="00000000" w:rsidRPr="00000000" w14:paraId="00000082">
            <w:pPr>
              <w:ind w:firstLine="0"/>
              <w:jc w:val="center"/>
              <w:rPr/>
            </w:pPr>
            <w:r w:rsidDel="00000000" w:rsidR="00000000" w:rsidRPr="00000000">
              <w:rPr>
                <w:rFonts w:ascii="Malgun Gothic" w:cs="Malgun Gothic" w:eastAsia="Malgun Gothic" w:hAnsi="Malgun Gothic"/>
                <w:b w:val="1"/>
                <w:bCs w:val="1"/>
                <w:sz w:val="19"/>
                <w:szCs w:val="19"/>
                <w:rtl w:val="0"/>
              </w:rPr>
              <w:t xml:space="preserve">50점</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56.0" w:type="dxa"/>
              <w:left w:w="100.0" w:type="dxa"/>
              <w:bottom w:w="56.0" w:type="dxa"/>
              <w:right w:w="100.0" w:type="dxa"/>
            </w:tcMar>
            <w:vAlign w:val="center"/>
          </w:tcPr>
          <w:p w:rsidR="00000000" w:rsidDel="00000000" w:rsidP="00000000" w:rsidRDefault="00000000" w:rsidRPr="00000000" w14:paraId="00000083">
            <w:pPr>
              <w:ind w:firstLine="0"/>
              <w:jc w:val="left"/>
              <w:rPr/>
            </w:pPr>
            <w:r w:rsidDel="00000000" w:rsidR="00000000" w:rsidRPr="00000000">
              <w:rPr>
                <w:rFonts w:ascii="Malgun Gothic" w:cs="Malgun Gothic" w:eastAsia="Malgun Gothic" w:hAnsi="Malgun Gothic"/>
                <w:sz w:val="18"/>
                <w:szCs w:val="18"/>
                <w:rtl w:val="0"/>
              </w:rPr>
              <w:t xml:space="preserve">제공된 준비물 리스트에 근거하여 가설을 정확히 입증할 수 있는 논리적이고 순차적인 실험 과정을 상세히 구성한 경우.</w:t>
            </w:r>
            <w:r w:rsidDel="00000000" w:rsidR="00000000" w:rsidRPr="00000000">
              <w:rPr>
                <w:rtl w:val="0"/>
              </w:rPr>
            </w:r>
          </w:p>
        </w:tc>
      </w:tr>
      <w:tr>
        <w:trPr>
          <w:cantSplit w:val="0"/>
          <w:trHeight w:val="759" w:hRule="atLeast"/>
          <w:tblHeader w:val="0"/>
        </w:trPr>
        <w:tc>
          <w:tcPr>
            <w:vMerge w:val="continue"/>
            <w:tcBorders>
              <w:top w:color="d3d3d3" w:space="0" w:sz="4" w:val="single"/>
              <w:left w:color="d3d3d3" w:space="0" w:sz="4" w:val="single"/>
              <w:bottom w:color="d3d3d3" w:space="0" w:sz="4" w:val="single"/>
              <w:right w:color="d3d3d3" w:space="0" w:sz="4" w:val="single"/>
            </w:tcBorders>
            <w:shd w:fill="f2f4f8" w:val="clear"/>
            <w:tcMar>
              <w:top w:w="56.0" w:type="dxa"/>
              <w:left w:w="100.0" w:type="dxa"/>
              <w:bottom w:w="56.0" w:type="dxa"/>
              <w:right w:w="100.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d3d3d3" w:space="0" w:sz="4" w:val="single"/>
              <w:left w:color="d3d3d3" w:space="0" w:sz="4" w:val="single"/>
              <w:bottom w:color="d3d3d3" w:space="0" w:sz="4" w:val="single"/>
              <w:right w:color="d3d3d3" w:space="0" w:sz="4" w:val="single"/>
            </w:tcBorders>
            <w:tcMar>
              <w:top w:w="56.0" w:type="dxa"/>
              <w:left w:w="100.0" w:type="dxa"/>
              <w:bottom w:w="56.0" w:type="dxa"/>
              <w:right w:w="100.0" w:type="dxa"/>
            </w:tcM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4f8" w:val="clear"/>
            <w:tcMar>
              <w:top w:w="56.0" w:type="dxa"/>
              <w:left w:w="100.0" w:type="dxa"/>
              <w:bottom w:w="56.0" w:type="dxa"/>
              <w:right w:w="100.0" w:type="dxa"/>
            </w:tcMar>
            <w:vAlign w:val="center"/>
          </w:tcPr>
          <w:p w:rsidR="00000000" w:rsidDel="00000000" w:rsidP="00000000" w:rsidRDefault="00000000" w:rsidRPr="00000000" w14:paraId="00000086">
            <w:pPr>
              <w:ind w:firstLine="0"/>
              <w:jc w:val="center"/>
              <w:rPr/>
            </w:pPr>
            <w:r w:rsidDel="00000000" w:rsidR="00000000" w:rsidRPr="00000000">
              <w:rPr>
                <w:rFonts w:ascii="Malgun Gothic" w:cs="Malgun Gothic" w:eastAsia="Malgun Gothic" w:hAnsi="Malgun Gothic"/>
                <w:b w:val="1"/>
                <w:bCs w:val="1"/>
                <w:sz w:val="19"/>
                <w:szCs w:val="19"/>
                <w:rtl w:val="0"/>
              </w:rPr>
              <w:t xml:space="preserve">35점</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56.0" w:type="dxa"/>
              <w:left w:w="100.0" w:type="dxa"/>
              <w:bottom w:w="56.0" w:type="dxa"/>
              <w:right w:w="100.0" w:type="dxa"/>
            </w:tcMar>
            <w:vAlign w:val="center"/>
          </w:tcPr>
          <w:p w:rsidR="00000000" w:rsidDel="00000000" w:rsidP="00000000" w:rsidRDefault="00000000" w:rsidRPr="00000000" w14:paraId="00000087">
            <w:pPr>
              <w:ind w:firstLine="0"/>
              <w:jc w:val="left"/>
              <w:rPr/>
            </w:pPr>
            <w:r w:rsidDel="00000000" w:rsidR="00000000" w:rsidRPr="00000000">
              <w:rPr>
                <w:rFonts w:ascii="Malgun Gothic" w:cs="Malgun Gothic" w:eastAsia="Malgun Gothic" w:hAnsi="Malgun Gothic"/>
                <w:sz w:val="18"/>
                <w:szCs w:val="18"/>
                <w:rtl w:val="0"/>
              </w:rPr>
              <w:t xml:space="preserve">제시된 준비물을 적합하게 사용하여 실험 흐름을 구성하였으나, 특정 통제 변인의 통제 시점이 누락되어 실험의 완성도가 일부 미흡한 경우.</w:t>
            </w:r>
            <w:r w:rsidDel="00000000" w:rsidR="00000000" w:rsidRPr="00000000">
              <w:rPr>
                <w:rtl w:val="0"/>
              </w:rPr>
            </w:r>
          </w:p>
        </w:tc>
      </w:tr>
      <w:tr>
        <w:trPr>
          <w:cantSplit w:val="0"/>
          <w:trHeight w:val="1080" w:hRule="atLeast"/>
          <w:tblHeader w:val="0"/>
        </w:trPr>
        <w:tc>
          <w:tcPr>
            <w:vMerge w:val="continue"/>
            <w:tcBorders>
              <w:top w:color="d3d3d3" w:space="0" w:sz="4" w:val="single"/>
              <w:left w:color="d3d3d3" w:space="0" w:sz="4" w:val="single"/>
              <w:bottom w:color="d3d3d3" w:space="0" w:sz="4" w:val="single"/>
              <w:right w:color="d3d3d3" w:space="0" w:sz="4" w:val="single"/>
            </w:tcBorders>
            <w:shd w:fill="f2f4f8" w:val="clear"/>
            <w:tcMar>
              <w:top w:w="56.0" w:type="dxa"/>
              <w:left w:w="100.0" w:type="dxa"/>
              <w:bottom w:w="56.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d3d3d3" w:space="0" w:sz="4" w:val="single"/>
              <w:left w:color="d3d3d3" w:space="0" w:sz="4" w:val="single"/>
              <w:bottom w:color="d3d3d3" w:space="0" w:sz="4" w:val="single"/>
              <w:right w:color="d3d3d3" w:space="0" w:sz="4" w:val="single"/>
            </w:tcBorders>
            <w:tcMar>
              <w:top w:w="56.0" w:type="dxa"/>
              <w:left w:w="100.0" w:type="dxa"/>
              <w:bottom w:w="56.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3d3d3" w:space="0" w:sz="4" w:val="single"/>
              <w:left w:color="d3d3d3" w:space="0" w:sz="4" w:val="single"/>
              <w:bottom w:color="000000" w:space="0" w:sz="4" w:val="single"/>
              <w:right w:color="d3d3d3" w:space="0" w:sz="4" w:val="single"/>
            </w:tcBorders>
            <w:shd w:fill="f2f4f8" w:val="clear"/>
            <w:tcMar>
              <w:top w:w="56.0" w:type="dxa"/>
              <w:left w:w="100.0" w:type="dxa"/>
              <w:bottom w:w="56.0" w:type="dxa"/>
              <w:right w:w="100.0" w:type="dxa"/>
            </w:tcMar>
            <w:vAlign w:val="center"/>
          </w:tcPr>
          <w:p w:rsidR="00000000" w:rsidDel="00000000" w:rsidP="00000000" w:rsidRDefault="00000000" w:rsidRPr="00000000" w14:paraId="0000008A">
            <w:pPr>
              <w:ind w:firstLine="0"/>
              <w:jc w:val="center"/>
              <w:rPr/>
            </w:pPr>
            <w:r w:rsidDel="00000000" w:rsidR="00000000" w:rsidRPr="00000000">
              <w:rPr>
                <w:rFonts w:ascii="Malgun Gothic" w:cs="Malgun Gothic" w:eastAsia="Malgun Gothic" w:hAnsi="Malgun Gothic"/>
                <w:b w:val="1"/>
                <w:bCs w:val="1"/>
                <w:sz w:val="19"/>
                <w:szCs w:val="19"/>
                <w:rtl w:val="0"/>
              </w:rPr>
              <w:t xml:space="preserve">20점</w:t>
            </w:r>
            <w:r w:rsidDel="00000000" w:rsidR="00000000" w:rsidRPr="00000000">
              <w:rPr>
                <w:rtl w:val="0"/>
              </w:rPr>
            </w:r>
          </w:p>
        </w:tc>
        <w:tc>
          <w:tcPr>
            <w:tcBorders>
              <w:top w:color="d3d3d3" w:space="0" w:sz="4" w:val="single"/>
              <w:left w:color="d3d3d3" w:space="0" w:sz="4" w:val="single"/>
              <w:bottom w:color="000000" w:space="0" w:sz="4" w:val="single"/>
              <w:right w:color="d3d3d3" w:space="0" w:sz="4" w:val="single"/>
            </w:tcBorders>
            <w:tcMar>
              <w:top w:w="56.0" w:type="dxa"/>
              <w:left w:w="100.0" w:type="dxa"/>
              <w:bottom w:w="56.0" w:type="dxa"/>
              <w:right w:w="100.0" w:type="dxa"/>
            </w:tcMar>
            <w:vAlign w:val="center"/>
          </w:tcPr>
          <w:p w:rsidR="00000000" w:rsidDel="00000000" w:rsidP="00000000" w:rsidRDefault="00000000" w:rsidRPr="00000000" w14:paraId="0000008B">
            <w:pPr>
              <w:spacing w:line="240" w:lineRule="auto"/>
              <w:ind w:firstLine="0"/>
              <w:rPr/>
            </w:pPr>
            <w:r w:rsidDel="00000000" w:rsidR="00000000" w:rsidRPr="00000000">
              <w:rPr>
                <w:rFonts w:ascii="Malgun Gothic" w:cs="Malgun Gothic" w:eastAsia="Malgun Gothic" w:hAnsi="Malgun Gothic"/>
                <w:sz w:val="18"/>
                <w:szCs w:val="18"/>
                <w:rtl w:val="0"/>
              </w:rPr>
              <w:t xml:space="preserve">교과서에 실린 실험 순서를 단순히 암기하여 단편적으로만 적은 경우.</w:t>
            </w:r>
            <w:r w:rsidDel="00000000" w:rsidR="00000000" w:rsidRPr="00000000">
              <w:rPr>
                <w:rtl w:val="0"/>
              </w:rPr>
            </w:r>
          </w:p>
        </w:tc>
      </w:tr>
    </w:tbl>
    <w:p w:rsidR="00000000" w:rsidDel="00000000" w:rsidP="00000000" w:rsidRDefault="00000000" w:rsidRPr="00000000" w14:paraId="0000008C">
      <w:pPr>
        <w:spacing w:after="0" w:lineRule="auto"/>
        <w:ind w:firstLine="0"/>
        <w:rPr/>
      </w:pPr>
      <w:r w:rsidDel="00000000" w:rsidR="00000000" w:rsidRPr="00000000">
        <w:rPr>
          <w:rtl w:val="0"/>
        </w:rPr>
      </w:r>
    </w:p>
    <w:p w:rsidR="00000000" w:rsidDel="00000000" w:rsidP="00000000" w:rsidRDefault="00000000" w:rsidRPr="00000000" w14:paraId="0000008D">
      <w:pPr>
        <w:spacing w:after="0" w:lineRule="auto"/>
        <w:ind w:firstLine="0"/>
        <w:rPr>
          <w:rFonts w:ascii="Malgun Gothic" w:cs="Malgun Gothic" w:eastAsia="Malgun Gothic" w:hAnsi="Malgun Gothic"/>
          <w:b w:val="1"/>
          <w:bCs w:val="1"/>
          <w:color w:val="2f5496"/>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8E">
      <w:pPr>
        <w:ind w:firstLine="0"/>
        <w:rPr/>
      </w:pPr>
      <w:r w:rsidDel="00000000" w:rsidR="00000000" w:rsidRPr="00000000">
        <w:rPr>
          <w:rFonts w:ascii="Malgun Gothic" w:cs="Malgun Gothic" w:eastAsia="Malgun Gothic" w:hAnsi="Malgun Gothic"/>
          <w:b w:val="1"/>
          <w:bCs w:val="1"/>
          <w:color w:val="2f5496"/>
          <w:sz w:val="22"/>
          <w:szCs w:val="22"/>
          <w:rtl w:val="0"/>
        </w:rPr>
        <w:t xml:space="preserve">나. 채점 시 고려 사항 및 세부 판단 기준</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Fonts w:ascii="Malgun Gothic" w:cs="Malgun Gothic" w:eastAsia="Malgun Gothic" w:hAnsi="Malgun Gothic"/>
          <w:b w:val="1"/>
          <w:bCs w:val="1"/>
          <w:i w:val="0"/>
          <w:iCs w:val="0"/>
          <w:smallCaps w:val="0"/>
          <w:strike w:val="0"/>
          <w:color w:val="000000"/>
          <w:sz w:val="19"/>
          <w:szCs w:val="19"/>
          <w:u w:val="none"/>
          <w:shd w:fill="auto" w:val="clear"/>
          <w:vertAlign w:val="baseline"/>
          <w:rtl w:val="0"/>
        </w:rPr>
        <w:t xml:space="preserve">가설 설정(문항 1)</w:t>
      </w:r>
      <w:r w:rsidDel="00000000" w:rsidR="00000000" w:rsidRPr="00000000">
        <w:rPr>
          <w:rFonts w:ascii="Malgun Gothic" w:cs="Malgun Gothic" w:eastAsia="Malgun Gothic" w:hAnsi="Malgun Gothic"/>
          <w:b w:val="0"/>
          <w:bCs w:val="0"/>
          <w:i w:val="0"/>
          <w:iCs w:val="0"/>
          <w:smallCaps w:val="0"/>
          <w:strike w:val="0"/>
          <w:color w:val="000000"/>
          <w:sz w:val="19"/>
          <w:szCs w:val="19"/>
          <w:u w:val="none"/>
          <w:shd w:fill="auto" w:val="clear"/>
          <w:vertAlign w:val="baseline"/>
          <w:rtl w:val="0"/>
        </w:rPr>
        <w:t xml:space="preserve">: 환경 요인의 수량화된 방향성 변화와 광합성 속도(량)의 변화 방향이 모두 구체화되어 기술되어야 정답으로 간주한다. 단순히 ‘영향을 미칠 것이다’라는 양방향이 아닌 애매한 서술은 5점 감점 처리한다. (예: ‘온도가 변하면 광합성도 변한다’는 15점, ‘온도가 높을수록 광합성 속도가 빨라지다가 최고점을 지나면 급격히 감소할 것이다’는 20점 만점)</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Fonts w:ascii="Malgun Gothic" w:cs="Malgun Gothic" w:eastAsia="Malgun Gothic" w:hAnsi="Malgun Gothic"/>
          <w:b w:val="1"/>
          <w:bCs w:val="1"/>
          <w:i w:val="0"/>
          <w:iCs w:val="0"/>
          <w:smallCaps w:val="0"/>
          <w:strike w:val="0"/>
          <w:color w:val="000000"/>
          <w:sz w:val="19"/>
          <w:szCs w:val="19"/>
          <w:u w:val="none"/>
          <w:shd w:fill="auto" w:val="clear"/>
          <w:vertAlign w:val="baseline"/>
          <w:rtl w:val="0"/>
        </w:rPr>
        <w:t xml:space="preserve">변인 구분 및 통제(문항 2)</w:t>
      </w:r>
      <w:r w:rsidDel="00000000" w:rsidR="00000000" w:rsidRPr="00000000">
        <w:rPr>
          <w:rFonts w:ascii="Malgun Gothic" w:cs="Malgun Gothic" w:eastAsia="Malgun Gothic" w:hAnsi="Malgun Gothic"/>
          <w:b w:val="0"/>
          <w:bCs w:val="0"/>
          <w:i w:val="0"/>
          <w:iCs w:val="0"/>
          <w:smallCaps w:val="0"/>
          <w:strike w:val="0"/>
          <w:color w:val="000000"/>
          <w:sz w:val="19"/>
          <w:szCs w:val="19"/>
          <w:u w:val="none"/>
          <w:shd w:fill="auto" w:val="clear"/>
          <w:vertAlign w:val="baseline"/>
          <w:rtl w:val="0"/>
        </w:rPr>
        <w:t xml:space="preserve">: 독립 변인은 단순히 '환경 요인'이 아니라 학생 본인이 구체적으로 선택한 요인명(예: '빛의 세기')을 정확히 명시해야 하며, 종속 변수 역시 단순 '광합성량'에서 나아가 본 실험에서 실제 측정 가능한 구체적 지표(예: '잎 조각이 떠오르는 시간' 또는 '일정 시간 동안의 산소 농도 변화율')로 구체화하여 서술해야 만점을 부여한다.</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pPr>
      <w:r w:rsidDel="00000000" w:rsidR="00000000" w:rsidRPr="00000000">
        <w:rPr>
          <w:rFonts w:ascii="Malgun Gothic" w:cs="Malgun Gothic" w:eastAsia="Malgun Gothic" w:hAnsi="Malgun Gothic"/>
          <w:b w:val="1"/>
          <w:bCs w:val="1"/>
          <w:i w:val="0"/>
          <w:iCs w:val="0"/>
          <w:smallCaps w:val="0"/>
          <w:strike w:val="0"/>
          <w:color w:val="000000"/>
          <w:sz w:val="19"/>
          <w:szCs w:val="19"/>
          <w:u w:val="none"/>
          <w:shd w:fill="auto" w:val="clear"/>
          <w:vertAlign w:val="baseline"/>
          <w:rtl w:val="0"/>
        </w:rPr>
        <w:t xml:space="preserve">실험 과정 설계(문항 3)</w:t>
      </w:r>
      <w:r w:rsidDel="00000000" w:rsidR="00000000" w:rsidRPr="00000000">
        <w:rPr>
          <w:rFonts w:ascii="Malgun Gothic" w:cs="Malgun Gothic" w:eastAsia="Malgun Gothic" w:hAnsi="Malgun Gothic"/>
          <w:b w:val="0"/>
          <w:bCs w:val="0"/>
          <w:i w:val="0"/>
          <w:iCs w:val="0"/>
          <w:smallCaps w:val="0"/>
          <w:strike w:val="0"/>
          <w:color w:val="000000"/>
          <w:sz w:val="19"/>
          <w:szCs w:val="19"/>
          <w:u w:val="none"/>
          <w:shd w:fill="auto" w:val="clear"/>
          <w:vertAlign w:val="baseline"/>
          <w:rtl w:val="0"/>
        </w:rPr>
        <w:t xml:space="preserve">: 제공된 준비물을 임의로 빠뜨리거나 임의의 가상 물품을 외부에서 새로 도입한 경우 채점 상 감점 요인이 될 수 있다. 특히 제공된 준비물 중에서 통제 변인을 제어하기 위한 부품(예: 빛의 세기 탐구 시 열 방출 통제를 위해 제공된 '물이 담긴 수조')을 실험 장치 구성에 빠뜨리지 않고 명확히 활용하는 절차를 기술했는지가 과학적 탐구 역량 평가의 핵심 변별 지점이다.</w:t>
      </w:r>
      <w:r w:rsidDel="00000000" w:rsidR="00000000" w:rsidRPr="00000000">
        <w:rPr>
          <w:rtl w:val="0"/>
        </w:rPr>
      </w:r>
    </w:p>
    <w:p w:rsidR="00000000" w:rsidDel="00000000" w:rsidP="00000000" w:rsidRDefault="00000000" w:rsidRPr="00000000" w14:paraId="00000092">
      <w:pPr>
        <w:spacing w:after="0" w:lineRule="auto"/>
        <w:ind w:firstLine="0"/>
        <w:rPr/>
      </w:pPr>
      <w:r w:rsidDel="00000000" w:rsidR="00000000" w:rsidRPr="00000000">
        <w:rPr>
          <w:rtl w:val="0"/>
        </w:rPr>
      </w:r>
    </w:p>
    <w:p w:rsidR="00000000" w:rsidDel="00000000" w:rsidP="00000000" w:rsidRDefault="00000000" w:rsidRPr="00000000" w14:paraId="00000093">
      <w:pPr>
        <w:spacing w:after="0" w:lineRule="auto"/>
        <w:ind w:firstLine="0"/>
        <w:rPr/>
      </w:pPr>
      <w:r w:rsidDel="00000000" w:rsidR="00000000" w:rsidRPr="00000000">
        <w:rPr>
          <w:rFonts w:ascii="Malgun Gothic" w:cs="Malgun Gothic" w:eastAsia="Malgun Gothic" w:hAnsi="Malgun Gothic"/>
          <w:b w:val="1"/>
          <w:bCs w:val="1"/>
          <w:color w:val="2f5496"/>
          <w:sz w:val="22"/>
          <w:szCs w:val="22"/>
          <w:rtl w:val="0"/>
        </w:rPr>
        <w:t xml:space="preserve">다. 선택 환경요인별 우수 예시 답안 및 채점 모델</w:t>
      </w:r>
      <w:r w:rsidDel="00000000" w:rsidR="00000000" w:rsidRPr="00000000">
        <w:rPr>
          <w:rtl w:val="0"/>
        </w:rPr>
      </w:r>
    </w:p>
    <w:p w:rsidR="00000000" w:rsidDel="00000000" w:rsidP="00000000" w:rsidRDefault="00000000" w:rsidRPr="00000000" w14:paraId="00000094">
      <w:pPr>
        <w:ind w:firstLine="0"/>
        <w:rPr/>
      </w:pPr>
      <w:r w:rsidDel="00000000" w:rsidR="00000000" w:rsidRPr="00000000">
        <w:rPr>
          <w:rFonts w:ascii="Malgun Gothic" w:cs="Malgun Gothic" w:eastAsia="Malgun Gothic" w:hAnsi="Malgun Gothic"/>
          <w:b w:val="1"/>
          <w:bCs w:val="1"/>
          <w:color w:val="2f5496"/>
          <w:sz w:val="20"/>
          <w:szCs w:val="20"/>
          <w:rtl w:val="0"/>
        </w:rPr>
        <w:t xml:space="preserve">① 【환경 요인: 빛의 세기】 선택 시 모범 답안</w:t>
      </w:r>
      <w:r w:rsidDel="00000000" w:rsidR="00000000" w:rsidRPr="00000000">
        <w:rPr>
          <w:rtl w:val="0"/>
        </w:rPr>
      </w:r>
    </w:p>
    <w:tbl>
      <w:tblPr>
        <w:tblStyle w:val="Table10"/>
        <w:tblW w:w="9360.0" w:type="dxa"/>
        <w:jc w:val="center"/>
        <w:tblLayout w:type="fixed"/>
        <w:tblLook w:val="0400"/>
      </w:tblPr>
      <w:tblGrid>
        <w:gridCol w:w="9360"/>
        <w:tblGridChange w:id="0">
          <w:tblGrid>
            <w:gridCol w:w="9360"/>
          </w:tblGrid>
        </w:tblGridChange>
      </w:tblGrid>
      <w:tr>
        <w:trPr>
          <w:cantSplit w:val="0"/>
          <w:tblHeader w:val="0"/>
        </w:trPr>
        <w:tc>
          <w:tcPr>
            <w:tcBorders>
              <w:top w:color="e0e0e0" w:space="0" w:sz="4" w:val="single"/>
              <w:left w:color="2f5496" w:space="0" w:sz="2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095">
            <w:pPr>
              <w:spacing w:line="276" w:lineRule="auto"/>
              <w:ind w:firstLine="0"/>
              <w:rPr/>
            </w:pPr>
            <w:r w:rsidDel="00000000" w:rsidR="00000000" w:rsidRPr="00000000">
              <w:rPr>
                <w:rFonts w:ascii="Malgun Gothic" w:cs="Malgun Gothic" w:eastAsia="Malgun Gothic" w:hAnsi="Malgun Gothic"/>
                <w:b w:val="1"/>
                <w:bCs w:val="1"/>
                <w:sz w:val="18"/>
                <w:szCs w:val="18"/>
                <w:rtl w:val="0"/>
              </w:rPr>
              <w:t xml:space="preserve">[문항 1 가설]</w:t>
            </w:r>
            <w:r w:rsidDel="00000000" w:rsidR="00000000" w:rsidRPr="00000000">
              <w:rPr>
                <w:rFonts w:ascii="Malgun Gothic" w:cs="Malgun Gothic" w:eastAsia="Malgun Gothic" w:hAnsi="Malgun Gothic"/>
                <w:sz w:val="18"/>
                <w:szCs w:val="18"/>
                <w:rtl w:val="0"/>
              </w:rPr>
              <w:t xml:space="preserve">: 빛의 세기가 강할수록 식물의 광합성이 활발하게 일어나 시금칫잎 조각이 모두 수면 위로 떠오르는 데 걸리는 총 시간이 짧아질 것이며, 일정 밝기 한계 이상에서는 더 이상 시간이 짧아지지 않고 수렴할 것이다.</w:t>
            </w:r>
            <w:r w:rsidDel="00000000" w:rsidR="00000000" w:rsidRPr="00000000">
              <w:rPr>
                <w:rtl w:val="0"/>
              </w:rPr>
            </w:r>
          </w:p>
        </w:tc>
      </w:tr>
      <w:tr>
        <w:trPr>
          <w:cantSplit w:val="0"/>
          <w:tblHeader w:val="0"/>
        </w:trPr>
        <w:tc>
          <w:tcPr>
            <w:tcBorders>
              <w:top w:color="e0e0e0" w:space="0" w:sz="4" w:val="single"/>
              <w:left w:color="2f5496" w:space="0" w:sz="2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096">
            <w:pPr>
              <w:spacing w:line="276" w:lineRule="auto"/>
              <w:ind w:firstLine="0"/>
              <w:rPr/>
            </w:pPr>
            <w:r w:rsidDel="00000000" w:rsidR="00000000" w:rsidRPr="00000000">
              <w:rPr>
                <w:rFonts w:ascii="Malgun Gothic" w:cs="Malgun Gothic" w:eastAsia="Malgun Gothic" w:hAnsi="Malgun Gothic"/>
                <w:b w:val="1"/>
                <w:bCs w:val="1"/>
                <w:sz w:val="18"/>
                <w:szCs w:val="18"/>
                <w:rtl w:val="0"/>
              </w:rPr>
              <w:t xml:space="preserve">[문항 2 변인 통제]</w:t>
            </w:r>
            <w:r w:rsidDel="00000000" w:rsidR="00000000" w:rsidRPr="00000000">
              <w:rPr>
                <w:rFonts w:ascii="Malgun Gothic" w:cs="Malgun Gothic" w:eastAsia="Malgun Gothic" w:hAnsi="Malgun Gothic"/>
                <w:sz w:val="18"/>
                <w:szCs w:val="18"/>
                <w:rtl w:val="0"/>
              </w:rPr>
              <w:t xml:space="preserve">:</w:t>
              <w:br w:type="textWrapping"/>
              <w:t xml:space="preserve">- </w:t>
            </w:r>
            <w:r w:rsidDel="00000000" w:rsidR="00000000" w:rsidRPr="00000000">
              <w:rPr>
                <w:rFonts w:ascii="Malgun Gothic" w:cs="Malgun Gothic" w:eastAsia="Malgun Gothic" w:hAnsi="Malgun Gothic"/>
                <w:b w:val="1"/>
                <w:bCs w:val="1"/>
                <w:sz w:val="18"/>
                <w:szCs w:val="18"/>
                <w:rtl w:val="0"/>
              </w:rPr>
              <w:t xml:space="preserve">독립 변인 (조작 변인)</w:t>
            </w:r>
            <w:r w:rsidDel="00000000" w:rsidR="00000000" w:rsidRPr="00000000">
              <w:rPr>
                <w:rFonts w:ascii="Malgun Gothic" w:cs="Malgun Gothic" w:eastAsia="Malgun Gothic" w:hAnsi="Malgun Gothic"/>
                <w:sz w:val="18"/>
                <w:szCs w:val="18"/>
                <w:rtl w:val="0"/>
              </w:rPr>
              <w:t xml:space="preserve">: 전등과 비커 사이의 거리 조절을 통한 빛의 세기 변화</w:t>
              <w:br w:type="textWrapping"/>
              <w:t xml:space="preserve">- </w:t>
            </w:r>
            <w:r w:rsidDel="00000000" w:rsidR="00000000" w:rsidRPr="00000000">
              <w:rPr>
                <w:rFonts w:ascii="Malgun Gothic" w:cs="Malgun Gothic" w:eastAsia="Malgun Gothic" w:hAnsi="Malgun Gothic"/>
                <w:b w:val="1"/>
                <w:bCs w:val="1"/>
                <w:sz w:val="18"/>
                <w:szCs w:val="18"/>
                <w:rtl w:val="0"/>
              </w:rPr>
              <w:t xml:space="preserve">종속 변인</w:t>
            </w:r>
            <w:r w:rsidDel="00000000" w:rsidR="00000000" w:rsidRPr="00000000">
              <w:rPr>
                <w:rFonts w:ascii="Malgun Gothic" w:cs="Malgun Gothic" w:eastAsia="Malgun Gothic" w:hAnsi="Malgun Gothic"/>
                <w:sz w:val="18"/>
                <w:szCs w:val="18"/>
                <w:rtl w:val="0"/>
              </w:rPr>
              <w:t xml:space="preserve">: 시금칫잎 조각 5개가 모두 수면 위로 완전히 떠오르는 데 걸리는 시간 (초 단위 측정)</w:t>
              <w:br w:type="textWrapping"/>
              <w:t xml:space="preserve">- </w:t>
            </w:r>
            <w:r w:rsidDel="00000000" w:rsidR="00000000" w:rsidRPr="00000000">
              <w:rPr>
                <w:rFonts w:ascii="Malgun Gothic" w:cs="Malgun Gothic" w:eastAsia="Malgun Gothic" w:hAnsi="Malgun Gothic"/>
                <w:b w:val="1"/>
                <w:bCs w:val="1"/>
                <w:sz w:val="18"/>
                <w:szCs w:val="18"/>
                <w:rtl w:val="0"/>
              </w:rPr>
              <w:t xml:space="preserve">통제 변인 및 구체적 통제 방안 (3가지)</w:t>
            </w:r>
            <w:r w:rsidDel="00000000" w:rsidR="00000000" w:rsidRPr="00000000">
              <w:rPr>
                <w:rFonts w:ascii="Malgun Gothic" w:cs="Malgun Gothic" w:eastAsia="Malgun Gothic" w:hAnsi="Malgun Gothic"/>
                <w:sz w:val="18"/>
                <w:szCs w:val="18"/>
                <w:rtl w:val="0"/>
              </w:rPr>
              <w:t xml:space="preserve">:</w:t>
              <w:br w:type="textWrapping"/>
              <w:t xml:space="preserve">  ① 이산화 탄소 공급량: 비커마다 동일한 1% 탄산수소 나트륨 수용액을 동일한 부피(50mL)로 채워 유지함.</w:t>
              <w:br w:type="textWrapping"/>
              <w:t xml:space="preserve">  ② 온도 변인 통제: 광원(전구)에서 방출되는 열을 차단하기 위해 LED 전등과 비커 사이에 물이 담긴 투명 수조를 동일하게 배치함.</w:t>
              <w:br w:type="textWrapping"/>
              <w:t xml:space="preserve">  ③ 식물체 물리적 조건: 동일한 시금치 잎의 균일한 부위에서 펀치로 동일한 크기(지름 5mm)의 조각을 뚫어 15개를 확보하여 각 비커에 5개씩 균일하게 분배함.</w:t>
            </w:r>
            <w:r w:rsidDel="00000000" w:rsidR="00000000" w:rsidRPr="00000000">
              <w:rPr>
                <w:rtl w:val="0"/>
              </w:rPr>
            </w:r>
          </w:p>
        </w:tc>
      </w:tr>
      <w:tr>
        <w:trPr>
          <w:cantSplit w:val="0"/>
          <w:tblHeader w:val="0"/>
        </w:trPr>
        <w:tc>
          <w:tcPr>
            <w:tcBorders>
              <w:top w:color="e0e0e0" w:space="0" w:sz="4" w:val="single"/>
              <w:left w:color="2f5496" w:space="0" w:sz="2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097">
            <w:pPr>
              <w:spacing w:line="276" w:lineRule="auto"/>
              <w:ind w:firstLine="0"/>
              <w:rPr/>
            </w:pPr>
            <w:r w:rsidDel="00000000" w:rsidR="00000000" w:rsidRPr="00000000">
              <w:rPr>
                <w:rFonts w:ascii="Malgun Gothic" w:cs="Malgun Gothic" w:eastAsia="Malgun Gothic" w:hAnsi="Malgun Gothic"/>
                <w:b w:val="1"/>
                <w:bCs w:val="1"/>
                <w:sz w:val="18"/>
                <w:szCs w:val="18"/>
                <w:rtl w:val="0"/>
              </w:rPr>
              <w:t xml:space="preserve">[문항 3 실험 설계]</w:t>
            </w:r>
            <w:r w:rsidDel="00000000" w:rsidR="00000000" w:rsidRPr="00000000">
              <w:rPr>
                <w:rFonts w:ascii="Malgun Gothic" w:cs="Malgun Gothic" w:eastAsia="Malgun Gothic" w:hAnsi="Malgun Gothic"/>
                <w:sz w:val="18"/>
                <w:szCs w:val="18"/>
                <w:rtl w:val="0"/>
              </w:rPr>
              <w:t xml:space="preserve">:</w:t>
              <w:br w:type="textWrapping"/>
              <w:t xml:space="preserve">1. 펀치를 활용하여 균일한 시금치 잎 부위에서 지름 5mm 크기의 동그란 잎 조각 15개를 예리하게 뚫어낸다.</w:t>
              <w:br w:type="textWrapping"/>
              <w:t xml:space="preserve">2. 주사기(20mL) 내부에 잎 조각 15개를 넣고 1% 탄산수소 나트륨 수용액을 채운 뒤, 입구를 손가락으로 밀폐하고 피스톤을 강하게 잡아당겨 잎 조각 내부의 기체(산소 등)를 진공 추출하여 모든 조각이 주사기 바닥으로 가라앉게 만든다.</w:t>
              <w:br w:type="textWrapping"/>
              <w:t xml:space="preserve">3. 비커 3개(100mL)에 1% 탄산수소 나트륨 수용액을 각각 50mL씩 채우고, 바닥으로 완전히 가라앉은 잎 조각을 핀셋을 사용하여 각 비커에 5개씩 균등하게 나누어 투입한다.</w:t>
              <w:br w:type="textWrapping"/>
              <w:t xml:space="preserve">4. 세 비커의 온도를 동일하게 유지하기 위해 각 비커 앞에 물이 담긴 투명 수조를 차단막으로 배치하고, 그 외부에 LED 전등 3개를 세팅한다.</w:t>
              <w:br w:type="textWrapping"/>
              <w:t xml:space="preserve">5. 자를 사용하여 전등과 비커 사이의 거리를 각각 10cm(강한 빛), 30cm(중간 빛), 50cm(약한 빛 - 대조군 역할을 함)로 정밀하게 세팅하고 고정한다.</w:t>
              <w:br w:type="textWrapping"/>
              <w:t xml:space="preserve">6. 세 비커 위의 LED 전등을 동시에 가동하는 순간부터 초시계를 작동하여, 각 비커 속 5개의 시금칫잎 조각이 수면 위로 모두 떠오를 때까지 걸리는 개별 시간을 정밀하게 측정하여 표에 초 단위로 기록하고 경향성을 비교한다.</w:t>
            </w:r>
            <w:r w:rsidDel="00000000" w:rsidR="00000000" w:rsidRPr="00000000">
              <w:rPr>
                <w:rtl w:val="0"/>
              </w:rPr>
            </w:r>
          </w:p>
        </w:tc>
      </w:tr>
    </w:tbl>
    <w:p w:rsidR="00000000" w:rsidDel="00000000" w:rsidP="00000000" w:rsidRDefault="00000000" w:rsidRPr="00000000" w14:paraId="00000098">
      <w:pPr>
        <w:spacing w:after="0" w:lineRule="auto"/>
        <w:ind w:firstLine="0"/>
        <w:rPr/>
      </w:pPr>
      <w:r w:rsidDel="00000000" w:rsidR="00000000" w:rsidRPr="00000000">
        <w:rPr>
          <w:rtl w:val="0"/>
        </w:rPr>
      </w:r>
    </w:p>
    <w:p w:rsidR="00000000" w:rsidDel="00000000" w:rsidP="00000000" w:rsidRDefault="00000000" w:rsidRPr="00000000" w14:paraId="00000099">
      <w:pPr>
        <w:ind w:firstLine="0"/>
        <w:rPr/>
      </w:pPr>
      <w:r w:rsidDel="00000000" w:rsidR="00000000" w:rsidRPr="00000000">
        <w:rPr>
          <w:rFonts w:ascii="Malgun Gothic" w:cs="Malgun Gothic" w:eastAsia="Malgun Gothic" w:hAnsi="Malgun Gothic"/>
          <w:b w:val="1"/>
          <w:bCs w:val="1"/>
          <w:color w:val="2f5496"/>
          <w:sz w:val="20"/>
          <w:szCs w:val="20"/>
          <w:rtl w:val="0"/>
        </w:rPr>
        <w:t xml:space="preserve">② 【환경 요인: 이산화 탄소 농도】 선택 시 모범 답안</w:t>
      </w:r>
      <w:r w:rsidDel="00000000" w:rsidR="00000000" w:rsidRPr="00000000">
        <w:rPr>
          <w:rtl w:val="0"/>
        </w:rPr>
      </w:r>
    </w:p>
    <w:tbl>
      <w:tblPr>
        <w:tblStyle w:val="Table11"/>
        <w:tblW w:w="9360.0" w:type="dxa"/>
        <w:jc w:val="center"/>
        <w:tblLayout w:type="fixed"/>
        <w:tblLook w:val="0400"/>
      </w:tblPr>
      <w:tblGrid>
        <w:gridCol w:w="9360"/>
        <w:tblGridChange w:id="0">
          <w:tblGrid>
            <w:gridCol w:w="9360"/>
          </w:tblGrid>
        </w:tblGridChange>
      </w:tblGrid>
      <w:tr>
        <w:trPr>
          <w:cantSplit w:val="0"/>
          <w:tblHeader w:val="0"/>
        </w:trPr>
        <w:tc>
          <w:tcPr>
            <w:tcBorders>
              <w:top w:color="e0e0e0" w:space="0" w:sz="4" w:val="single"/>
              <w:left w:color="2f5496" w:space="0" w:sz="2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09A">
            <w:pPr>
              <w:spacing w:line="276" w:lineRule="auto"/>
              <w:ind w:firstLine="0"/>
              <w:rPr/>
            </w:pPr>
            <w:r w:rsidDel="00000000" w:rsidR="00000000" w:rsidRPr="00000000">
              <w:rPr>
                <w:rFonts w:ascii="Malgun Gothic" w:cs="Malgun Gothic" w:eastAsia="Malgun Gothic" w:hAnsi="Malgun Gothic"/>
                <w:b w:val="1"/>
                <w:bCs w:val="1"/>
                <w:sz w:val="18"/>
                <w:szCs w:val="18"/>
                <w:rtl w:val="0"/>
              </w:rPr>
              <w:t xml:space="preserve">[문항 1 가설]</w:t>
            </w:r>
            <w:r w:rsidDel="00000000" w:rsidR="00000000" w:rsidRPr="00000000">
              <w:rPr>
                <w:rFonts w:ascii="Malgun Gothic" w:cs="Malgun Gothic" w:eastAsia="Malgun Gothic" w:hAnsi="Malgun Gothic"/>
                <w:sz w:val="18"/>
                <w:szCs w:val="18"/>
                <w:rtl w:val="0"/>
              </w:rPr>
              <w:t xml:space="preserve">: 이산화 탄소의 농도가 높을수록 식물의 광합성이 촉진되어 밀폐 용기 내의 산소 증가율(속도)이 일정 시간 동안 더 가파르게 증가할 것이며, 이산화 탄소의 공급 농도가 특정 수준을 넘어서면 산소 변화 속도는 일정하게 한계치에 다다라 더 증가하지 않을 것이다.</w:t>
            </w:r>
            <w:r w:rsidDel="00000000" w:rsidR="00000000" w:rsidRPr="00000000">
              <w:rPr>
                <w:rtl w:val="0"/>
              </w:rPr>
            </w:r>
          </w:p>
        </w:tc>
      </w:tr>
      <w:tr>
        <w:trPr>
          <w:cantSplit w:val="0"/>
          <w:tblHeader w:val="0"/>
        </w:trPr>
        <w:tc>
          <w:tcPr>
            <w:tcBorders>
              <w:top w:color="e0e0e0" w:space="0" w:sz="4" w:val="single"/>
              <w:left w:color="2f5496" w:space="0" w:sz="2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09B">
            <w:pPr>
              <w:spacing w:line="276" w:lineRule="auto"/>
              <w:ind w:firstLine="0"/>
              <w:rPr/>
            </w:pPr>
            <w:r w:rsidDel="00000000" w:rsidR="00000000" w:rsidRPr="00000000">
              <w:rPr>
                <w:rFonts w:ascii="Malgun Gothic" w:cs="Malgun Gothic" w:eastAsia="Malgun Gothic" w:hAnsi="Malgun Gothic"/>
                <w:b w:val="1"/>
                <w:bCs w:val="1"/>
                <w:sz w:val="18"/>
                <w:szCs w:val="18"/>
                <w:rtl w:val="0"/>
              </w:rPr>
              <w:t xml:space="preserve">[문항 2 변인 통제]</w:t>
            </w:r>
            <w:r w:rsidDel="00000000" w:rsidR="00000000" w:rsidRPr="00000000">
              <w:rPr>
                <w:rFonts w:ascii="Malgun Gothic" w:cs="Malgun Gothic" w:eastAsia="Malgun Gothic" w:hAnsi="Malgun Gothic"/>
                <w:sz w:val="18"/>
                <w:szCs w:val="18"/>
                <w:rtl w:val="0"/>
              </w:rPr>
              <w:t xml:space="preserve">:</w:t>
              <w:br w:type="textWrapping"/>
              <w:t xml:space="preserve">- </w:t>
            </w:r>
            <w:r w:rsidDel="00000000" w:rsidR="00000000" w:rsidRPr="00000000">
              <w:rPr>
                <w:rFonts w:ascii="Malgun Gothic" w:cs="Malgun Gothic" w:eastAsia="Malgun Gothic" w:hAnsi="Malgun Gothic"/>
                <w:b w:val="1"/>
                <w:bCs w:val="1"/>
                <w:sz w:val="18"/>
                <w:szCs w:val="18"/>
                <w:rtl w:val="0"/>
              </w:rPr>
              <w:t xml:space="preserve">독립 변인 (조작 변인)</w:t>
            </w:r>
            <w:r w:rsidDel="00000000" w:rsidR="00000000" w:rsidRPr="00000000">
              <w:rPr>
                <w:rFonts w:ascii="Malgun Gothic" w:cs="Malgun Gothic" w:eastAsia="Malgun Gothic" w:hAnsi="Malgun Gothic"/>
                <w:sz w:val="18"/>
                <w:szCs w:val="18"/>
                <w:rtl w:val="0"/>
              </w:rPr>
              <w:t xml:space="preserve">: 탄산수소 나트륨 수용액의 농도 차이 (0.5%, 1.5%, 3.0%)에 따른 이산화 탄소 제공 농도 변화</w:t>
              <w:br w:type="textWrapping"/>
              <w:t xml:space="preserve">- </w:t>
            </w:r>
            <w:r w:rsidDel="00000000" w:rsidR="00000000" w:rsidRPr="00000000">
              <w:rPr>
                <w:rFonts w:ascii="Malgun Gothic" w:cs="Malgun Gothic" w:eastAsia="Malgun Gothic" w:hAnsi="Malgun Gothic"/>
                <w:b w:val="1"/>
                <w:bCs w:val="1"/>
                <w:sz w:val="18"/>
                <w:szCs w:val="18"/>
                <w:rtl w:val="0"/>
              </w:rPr>
              <w:t xml:space="preserve">종속 변인</w:t>
            </w:r>
            <w:r w:rsidDel="00000000" w:rsidR="00000000" w:rsidRPr="00000000">
              <w:rPr>
                <w:rFonts w:ascii="Malgun Gothic" w:cs="Malgun Gothic" w:eastAsia="Malgun Gothic" w:hAnsi="Malgun Gothic"/>
                <w:sz w:val="18"/>
                <w:szCs w:val="18"/>
                <w:rtl w:val="0"/>
              </w:rPr>
              <w:t xml:space="preserve">: 밀폐 용기 가동 후 15분 동안 디지털 산소 센서로 측정된 초기 대비 최종 산소 농도의 증가율 (%)</w:t>
              <w:br w:type="textWrapping"/>
              <w:t xml:space="preserve">- </w:t>
            </w:r>
            <w:r w:rsidDel="00000000" w:rsidR="00000000" w:rsidRPr="00000000">
              <w:rPr>
                <w:rFonts w:ascii="Malgun Gothic" w:cs="Malgun Gothic" w:eastAsia="Malgun Gothic" w:hAnsi="Malgun Gothic"/>
                <w:b w:val="1"/>
                <w:bCs w:val="1"/>
                <w:sz w:val="18"/>
                <w:szCs w:val="18"/>
                <w:rtl w:val="0"/>
              </w:rPr>
              <w:t xml:space="preserve">통제 변인 및 구체적 통제 방안 (3가지)</w:t>
            </w:r>
            <w:r w:rsidDel="00000000" w:rsidR="00000000" w:rsidRPr="00000000">
              <w:rPr>
                <w:rFonts w:ascii="Malgun Gothic" w:cs="Malgun Gothic" w:eastAsia="Malgun Gothic" w:hAnsi="Malgun Gothic"/>
                <w:sz w:val="18"/>
                <w:szCs w:val="18"/>
                <w:rtl w:val="0"/>
              </w:rPr>
              <w:t xml:space="preserve">:</w:t>
              <w:br w:type="textWrapping"/>
              <w:t xml:space="preserve">  ① 빛의 세기 통제: 동일한 규격의 LED 전등을 3개의 밀폐 용기와 동일한 거리(15cm)에 정확하게 배치하고 광량을 일정하게 유지함.</w:t>
              <w:br w:type="textWrapping"/>
              <w:t xml:space="preserve">  ② 온도 환경 통제: 외부 열 변화 유입을 방지하고 빛 환경을 독립 제어하기 위해 3개의 용기를 모두 동일한 온도(22℃)로 유지되는 하나의 대형 어둠상자 내부에 밀폐시켜 넣음.</w:t>
              <w:br w:type="textWrapping"/>
              <w:t xml:space="preserve">  ③ 식물체 양 및 조건: 전자저울을 사용하여 벌크 시금칫잎을 정확히 10g씩 3세트 계량한 후, 잎의 상처가 없고 신선한 잎들로만 균일하게 3개의 용기에 골고루 배치하여 투입함.</w:t>
            </w:r>
            <w:r w:rsidDel="00000000" w:rsidR="00000000" w:rsidRPr="00000000">
              <w:rPr>
                <w:rtl w:val="0"/>
              </w:rPr>
            </w:r>
          </w:p>
        </w:tc>
      </w:tr>
      <w:tr>
        <w:trPr>
          <w:cantSplit w:val="0"/>
          <w:tblHeader w:val="0"/>
        </w:trPr>
        <w:tc>
          <w:tcPr>
            <w:tcBorders>
              <w:top w:color="e0e0e0" w:space="0" w:sz="4" w:val="single"/>
              <w:left w:color="2f5496" w:space="0" w:sz="2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09C">
            <w:pPr>
              <w:spacing w:line="276" w:lineRule="auto"/>
              <w:ind w:firstLine="0"/>
              <w:rPr/>
            </w:pPr>
            <w:r w:rsidDel="00000000" w:rsidR="00000000" w:rsidRPr="00000000">
              <w:rPr>
                <w:rFonts w:ascii="Malgun Gothic" w:cs="Malgun Gothic" w:eastAsia="Malgun Gothic" w:hAnsi="Malgun Gothic"/>
                <w:b w:val="1"/>
                <w:bCs w:val="1"/>
                <w:sz w:val="18"/>
                <w:szCs w:val="18"/>
                <w:rtl w:val="0"/>
              </w:rPr>
              <w:t xml:space="preserve">[문항 3 실험 설계]</w:t>
            </w:r>
            <w:r w:rsidDel="00000000" w:rsidR="00000000" w:rsidRPr="00000000">
              <w:rPr>
                <w:rFonts w:ascii="Malgun Gothic" w:cs="Malgun Gothic" w:eastAsia="Malgun Gothic" w:hAnsi="Malgun Gothic"/>
                <w:sz w:val="18"/>
                <w:szCs w:val="18"/>
                <w:rtl w:val="0"/>
              </w:rPr>
              <w:t xml:space="preserve">:</w:t>
              <w:br w:type="textWrapping"/>
              <w:t xml:space="preserve">1. 전자저울을 가동하여 외관이 신선하고 균일한 크기의 시금칫잎 10g을 정밀하게 계량하여 총 3세트(총 30g)를 준비한다.</w:t>
              <w:br w:type="textWrapping"/>
              <w:t xml:space="preserve">2. 세 개의 투명 밀폐 용기에 각각 준비된 시금칫잎 10g씩을 골고루 분배하여 투입한다.</w:t>
              <w:br w:type="textWrapping"/>
              <w:t xml:space="preserve">3. 거름종이 3장을 준비하여 각각 0.5%, 1.5%, 3.0%의 탄산수소 나트륨 수용액에 충분히 적신 후, 핀셋을 이용해 각 밀폐 용기 내벽에 밀착시켜 부착함으로써 농도가 서로 다른 이산화 탄소 기상 환경을 다르게 조성한다.</w:t>
              <w:br w:type="textWrapping"/>
              <w:t xml:space="preserve">4. 각 밀폐 용기에 디지털 산소 센서를 빈틈없이 수직으로 꽂아 밀폐를 완료하고, MBL 측정 앱이 구동되는 스마트 기기와 각각 무선 연결하여 밀폐 직후의 초기 산소 농도(%)를 세 측정 장치에서 일제히 기록해 둔다.</w:t>
              <w:br w:type="textWrapping"/>
              <w:t xml:space="preserve">5. 세 개의 밀폐 용기를 대형 어둠상자 내부에 나란히 설치한 후, 각 용기 정면 15cm 거리에서 동일한 LED 전등을 동시에 점등하고 상자 뚜껑을 닫아 외부 빛을 완벽히 차단한다.</w:t>
              <w:br w:type="textWrapping"/>
              <w:t xml:space="preserve">6. 광원을 켠 시점부터 총 15분 동안 측정 앱을 가동하여 5분 간격(5분, 10분, 15분 시점)으로 센서가 실시간 수집하는 밀폐 용기 속 산소 농도 누적 변화치를 모니터링하여 저장하고, 농도별 산소 농도 누적 곡선의 기울기(속도) 차이를 해석한다.</w:t>
            </w:r>
            <w:r w:rsidDel="00000000" w:rsidR="00000000" w:rsidRPr="00000000">
              <w:rPr>
                <w:rtl w:val="0"/>
              </w:rPr>
            </w:r>
          </w:p>
        </w:tc>
      </w:tr>
    </w:tbl>
    <w:p w:rsidR="00000000" w:rsidDel="00000000" w:rsidP="00000000" w:rsidRDefault="00000000" w:rsidRPr="00000000" w14:paraId="0000009D">
      <w:pPr>
        <w:spacing w:after="0" w:lineRule="auto"/>
        <w:ind w:firstLine="0"/>
        <w:rPr/>
      </w:pPr>
      <w:r w:rsidDel="00000000" w:rsidR="00000000" w:rsidRPr="00000000">
        <w:rPr>
          <w:rtl w:val="0"/>
        </w:rPr>
      </w:r>
    </w:p>
    <w:p w:rsidR="00000000" w:rsidDel="00000000" w:rsidP="00000000" w:rsidRDefault="00000000" w:rsidRPr="00000000" w14:paraId="0000009E">
      <w:pPr>
        <w:ind w:firstLine="0"/>
        <w:rPr/>
      </w:pPr>
      <w:r w:rsidDel="00000000" w:rsidR="00000000" w:rsidRPr="00000000">
        <w:rPr>
          <w:rFonts w:ascii="Malgun Gothic" w:cs="Malgun Gothic" w:eastAsia="Malgun Gothic" w:hAnsi="Malgun Gothic"/>
          <w:b w:val="1"/>
          <w:bCs w:val="1"/>
          <w:color w:val="2f5496"/>
          <w:sz w:val="20"/>
          <w:szCs w:val="20"/>
          <w:rtl w:val="0"/>
        </w:rPr>
        <w:t xml:space="preserve">③ 【환경 요인: 온도】 선택 시 모범 답안</w:t>
      </w:r>
      <w:r w:rsidDel="00000000" w:rsidR="00000000" w:rsidRPr="00000000">
        <w:rPr>
          <w:rtl w:val="0"/>
        </w:rPr>
      </w:r>
    </w:p>
    <w:tbl>
      <w:tblPr>
        <w:tblStyle w:val="Table12"/>
        <w:tblW w:w="9360.0" w:type="dxa"/>
        <w:jc w:val="center"/>
        <w:tblLayout w:type="fixed"/>
        <w:tblLook w:val="0400"/>
      </w:tblPr>
      <w:tblGrid>
        <w:gridCol w:w="9360"/>
        <w:tblGridChange w:id="0">
          <w:tblGrid>
            <w:gridCol w:w="9360"/>
          </w:tblGrid>
        </w:tblGridChange>
      </w:tblGrid>
      <w:tr>
        <w:trPr>
          <w:cantSplit w:val="0"/>
          <w:tblHeader w:val="0"/>
        </w:trPr>
        <w:tc>
          <w:tcPr>
            <w:tcBorders>
              <w:top w:color="e0e0e0" w:space="0" w:sz="4" w:val="single"/>
              <w:left w:color="2f5496" w:space="0" w:sz="2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09F">
            <w:pPr>
              <w:spacing w:line="276" w:lineRule="auto"/>
              <w:ind w:firstLine="0"/>
              <w:rPr/>
            </w:pPr>
            <w:r w:rsidDel="00000000" w:rsidR="00000000" w:rsidRPr="00000000">
              <w:rPr>
                <w:rFonts w:ascii="Malgun Gothic" w:cs="Malgun Gothic" w:eastAsia="Malgun Gothic" w:hAnsi="Malgun Gothic"/>
                <w:b w:val="1"/>
                <w:bCs w:val="1"/>
                <w:sz w:val="18"/>
                <w:szCs w:val="18"/>
                <w:rtl w:val="0"/>
              </w:rPr>
              <w:t xml:space="preserve">[문항 1 가설]</w:t>
            </w:r>
            <w:r w:rsidDel="00000000" w:rsidR="00000000" w:rsidRPr="00000000">
              <w:rPr>
                <w:rFonts w:ascii="Malgun Gothic" w:cs="Malgun Gothic" w:eastAsia="Malgun Gothic" w:hAnsi="Malgun Gothic"/>
                <w:sz w:val="18"/>
                <w:szCs w:val="18"/>
                <w:rtl w:val="0"/>
              </w:rPr>
              <w:t xml:space="preserve">: 수용액의 온도가 어는점 부근에서 우리 몸의 체온 부근인 약 35℃까지 높아질수록 엽록체 효소 활성화로 광합성 속도가 빨라져 시금칫잎 조각이 떠오르는 데 걸리는 시간이 매우 짧아질 것이나, 45℃를 넘어서는 고온 영역에서는 효소의 열변성으로 광합성이 파괴되어 잎이 아예 떠오르지 못하거나 매우 늦게 떠오를 것이다.</w:t>
            </w:r>
            <w:r w:rsidDel="00000000" w:rsidR="00000000" w:rsidRPr="00000000">
              <w:rPr>
                <w:rtl w:val="0"/>
              </w:rPr>
            </w:r>
          </w:p>
        </w:tc>
      </w:tr>
      <w:tr>
        <w:trPr>
          <w:cantSplit w:val="0"/>
          <w:tblHeader w:val="0"/>
        </w:trPr>
        <w:tc>
          <w:tcPr>
            <w:tcBorders>
              <w:top w:color="e0e0e0" w:space="0" w:sz="4" w:val="single"/>
              <w:left w:color="2f5496" w:space="0" w:sz="2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0A0">
            <w:pPr>
              <w:spacing w:line="276" w:lineRule="auto"/>
              <w:ind w:firstLine="0"/>
              <w:rPr/>
            </w:pPr>
            <w:r w:rsidDel="00000000" w:rsidR="00000000" w:rsidRPr="00000000">
              <w:rPr>
                <w:rFonts w:ascii="Malgun Gothic" w:cs="Malgun Gothic" w:eastAsia="Malgun Gothic" w:hAnsi="Malgun Gothic"/>
                <w:b w:val="1"/>
                <w:bCs w:val="1"/>
                <w:sz w:val="18"/>
                <w:szCs w:val="18"/>
                <w:rtl w:val="0"/>
              </w:rPr>
              <w:t xml:space="preserve">[문항 2 변인 통제]</w:t>
            </w:r>
            <w:r w:rsidDel="00000000" w:rsidR="00000000" w:rsidRPr="00000000">
              <w:rPr>
                <w:rFonts w:ascii="Malgun Gothic" w:cs="Malgun Gothic" w:eastAsia="Malgun Gothic" w:hAnsi="Malgun Gothic"/>
                <w:sz w:val="18"/>
                <w:szCs w:val="18"/>
                <w:rtl w:val="0"/>
              </w:rPr>
              <w:t xml:space="preserve">:</w:t>
              <w:br w:type="textWrapping"/>
              <w:t xml:space="preserve">- </w:t>
            </w:r>
            <w:r w:rsidDel="00000000" w:rsidR="00000000" w:rsidRPr="00000000">
              <w:rPr>
                <w:rFonts w:ascii="Malgun Gothic" w:cs="Malgun Gothic" w:eastAsia="Malgun Gothic" w:hAnsi="Malgun Gothic"/>
                <w:b w:val="1"/>
                <w:bCs w:val="1"/>
                <w:sz w:val="18"/>
                <w:szCs w:val="18"/>
                <w:rtl w:val="0"/>
              </w:rPr>
              <w:t xml:space="preserve">독립 변인 (조작 변인)</w:t>
            </w:r>
            <w:r w:rsidDel="00000000" w:rsidR="00000000" w:rsidRPr="00000000">
              <w:rPr>
                <w:rFonts w:ascii="Malgun Gothic" w:cs="Malgun Gothic" w:eastAsia="Malgun Gothic" w:hAnsi="Malgun Gothic"/>
                <w:sz w:val="18"/>
                <w:szCs w:val="18"/>
                <w:rtl w:val="0"/>
              </w:rPr>
              <w:t xml:space="preserve">: 실험 비커가 담기는 외부 물중탕 수조의 물 온도 조건 조절 (10℃, 25℃, 40℃)</w:t>
              <w:br w:type="textWrapping"/>
              <w:t xml:space="preserve">- </w:t>
            </w:r>
            <w:r w:rsidDel="00000000" w:rsidR="00000000" w:rsidRPr="00000000">
              <w:rPr>
                <w:rFonts w:ascii="Malgun Gothic" w:cs="Malgun Gothic" w:eastAsia="Malgun Gothic" w:hAnsi="Malgun Gothic"/>
                <w:b w:val="1"/>
                <w:bCs w:val="1"/>
                <w:sz w:val="18"/>
                <w:szCs w:val="18"/>
                <w:rtl w:val="0"/>
              </w:rPr>
              <w:t xml:space="preserve">종속 변인</w:t>
            </w:r>
            <w:r w:rsidDel="00000000" w:rsidR="00000000" w:rsidRPr="00000000">
              <w:rPr>
                <w:rFonts w:ascii="Malgun Gothic" w:cs="Malgun Gothic" w:eastAsia="Malgun Gothic" w:hAnsi="Malgun Gothic"/>
                <w:sz w:val="18"/>
                <w:szCs w:val="18"/>
                <w:rtl w:val="0"/>
              </w:rPr>
              <w:t xml:space="preserve">: 각 온도 비커 속 시금칫잎 조각 5개가 전원 투입 후 수면 위로 모두 떠오르는 데 소요되는 시간 (초)</w:t>
              <w:br w:type="textWrapping"/>
              <w:t xml:space="preserve">- </w:t>
            </w:r>
            <w:r w:rsidDel="00000000" w:rsidR="00000000" w:rsidRPr="00000000">
              <w:rPr>
                <w:rFonts w:ascii="Malgun Gothic" w:cs="Malgun Gothic" w:eastAsia="Malgun Gothic" w:hAnsi="Malgun Gothic"/>
                <w:b w:val="1"/>
                <w:bCs w:val="1"/>
                <w:sz w:val="18"/>
                <w:szCs w:val="18"/>
                <w:rtl w:val="0"/>
              </w:rPr>
              <w:t xml:space="preserve">통제 변인 및 구체적 통제 방안 (3가지)</w:t>
            </w:r>
            <w:r w:rsidDel="00000000" w:rsidR="00000000" w:rsidRPr="00000000">
              <w:rPr>
                <w:rFonts w:ascii="Malgun Gothic" w:cs="Malgun Gothic" w:eastAsia="Malgun Gothic" w:hAnsi="Malgun Gothic"/>
                <w:sz w:val="18"/>
                <w:szCs w:val="18"/>
                <w:rtl w:val="0"/>
              </w:rPr>
              <w:t xml:space="preserve">:</w:t>
              <w:br w:type="textWrapping"/>
              <w:t xml:space="preserve">  ① 빛의 밝기 조건: 동일한 세기의 LED 전등 3개를 세 비커로부터 동일하게 20cm 수직 거리 상단에 설치하여 동일하게 조사함.</w:t>
              <w:br w:type="textWrapping"/>
              <w:t xml:space="preserve">  ② 이산화 탄소 공급량: 세 시험 비커 내부에 동일한 제조사의 1% 탄산수소 나트륨 수용액을 정확히 100mL씩 동일하게 채워 유지함.</w:t>
              <w:br w:type="textWrapping"/>
              <w:t xml:space="preserve">  ③ 식물체 변인 제어: 같은 시금치 개체에서 추출된 동일한 지름 5mm 원형 조각들을 주사기로 완전히 감압 진공 가라앉힌 조각들로 비커마다 5개씩 균일하게 투입함.</w:t>
            </w:r>
            <w:r w:rsidDel="00000000" w:rsidR="00000000" w:rsidRPr="00000000">
              <w:rPr>
                <w:rtl w:val="0"/>
              </w:rPr>
            </w:r>
          </w:p>
        </w:tc>
      </w:tr>
      <w:tr>
        <w:trPr>
          <w:cantSplit w:val="0"/>
          <w:tblHeader w:val="0"/>
        </w:trPr>
        <w:tc>
          <w:tcPr>
            <w:tcBorders>
              <w:top w:color="e0e0e0" w:space="0" w:sz="4" w:val="single"/>
              <w:left w:color="2f5496" w:space="0" w:sz="2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0A1">
            <w:pPr>
              <w:spacing w:line="276" w:lineRule="auto"/>
              <w:ind w:firstLine="0"/>
              <w:rPr/>
            </w:pPr>
            <w:r w:rsidDel="00000000" w:rsidR="00000000" w:rsidRPr="00000000">
              <w:rPr>
                <w:rFonts w:ascii="Malgun Gothic" w:cs="Malgun Gothic" w:eastAsia="Malgun Gothic" w:hAnsi="Malgun Gothic"/>
                <w:b w:val="1"/>
                <w:bCs w:val="1"/>
                <w:sz w:val="18"/>
                <w:szCs w:val="18"/>
                <w:rtl w:val="0"/>
              </w:rPr>
              <w:t xml:space="preserve">[문항 3 실험 설계]</w:t>
            </w:r>
            <w:r w:rsidDel="00000000" w:rsidR="00000000" w:rsidRPr="00000000">
              <w:rPr>
                <w:rFonts w:ascii="Malgun Gothic" w:cs="Malgun Gothic" w:eastAsia="Malgun Gothic" w:hAnsi="Malgun Gothic"/>
                <w:sz w:val="18"/>
                <w:szCs w:val="18"/>
                <w:rtl w:val="0"/>
              </w:rPr>
              <w:t xml:space="preserve">:</w:t>
              <w:br w:type="textWrapping"/>
              <w:t xml:space="preserve">1. 펀치 도구를 사용해 신선한 단일 시금치 잎에서 결함이 없는 깨끗한 원형 조각 15개를 지름 5mm 규격으로 뚫어 준비한다.</w:t>
              <w:br w:type="textWrapping"/>
              <w:t xml:space="preserve">2. 주사기(20mL)에 준비된 잎 조각 15개와 1% 탄산수소 나트륨 수용액을 채우고 주사기 끝을 굳게 손으로 막은 채 피스톤을 강하게 2~3회 반복하여 풀었다 잡아당기며 잎 조직 내부의 공기를 제거해 물속으로 가라앉힌다.</w:t>
              <w:br w:type="textWrapping"/>
              <w:t xml:space="preserve">3. 비커 3개(250mL)에 1% 탄산수소 나트륨 수용액을 각각 100mL씩 채우고, 가라앉은 잎 조각을 비커마다 5개씩 균등 투입한다.</w:t>
              <w:br w:type="textWrapping"/>
              <w:t xml:space="preserve">4. 준비된 물중탕용 비커 3개에 각각 얼음물(약 10℃로 차갑게 세팅), 실온의 물(약 25℃), 따뜻한 물(온수와 온계를 활용해 약 40℃로 고정 세팅)을 채우고 온도계를 꽂아 수온을 각각 다르게 고정 유지한다.</w:t>
              <w:br w:type="textWrapping"/>
              <w:t xml:space="preserve">5. 잎 조각이 담긴 세 개의 비커를 각 온도로 세팅된 물중탕 비커 내부에 각각 천천히 안착시켜 내부 수용액 온도가 10℃, 25℃, 40℃가 되도록 유지한다.</w:t>
              <w:br w:type="textWrapping"/>
              <w:t xml:space="preserve">6. 세 비커의 상단 20cm 높이에 동일한 밝기의 LED 전등 3개를 동시에 조사하고 초시계를 켠다. 온도계 눈금을 실시간 확인하여 온도가 일정하게 제어되는지 감시하며, 각 비커별 가라앉았던 5개의 조각이 모두 수면 위로 완전히 떠오르는 최종 소요 초시간을 각각 독립적으로 스톱워치로 정밀 계측하여 기록하고 상관관계를 도출한다.</w:t>
            </w:r>
            <w:r w:rsidDel="00000000" w:rsidR="00000000" w:rsidRPr="00000000">
              <w:rPr>
                <w:rtl w:val="0"/>
              </w:rPr>
            </w:r>
          </w:p>
        </w:tc>
      </w:tr>
    </w:tbl>
    <w:p w:rsidR="00000000" w:rsidDel="00000000" w:rsidP="00000000" w:rsidRDefault="00000000" w:rsidRPr="00000000" w14:paraId="000000A2">
      <w:pPr>
        <w:ind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Calibri"/>
  <w:font w:name="Arial"/>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76092"/>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40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75e"/>
      <w:sz w:val="52"/>
      <w:szCs w:val="52"/>
    </w:rPr>
  </w:style>
  <w:style w:type="paragraph" w:styleId="Header" w:customStyle="1">
    <w:name w:val="header"/>
    <w:basedOn w:val="Normal"/>
    <w:link w:val="HeaderChar"/>
    <w:uiPriority w:val="99"/>
    <w:unhideWhenUsed w:val="1"/>
    <w:pPr>
      <w:tabs>
        <w:tab w:val="center" w:pos="4680"/>
        <w:tab w:val="right" w:pos="9360"/>
      </w:tabs>
      <w:spacing w:after="0" w:line="240" w:lineRule="auto"/>
    </w:pPr>
  </w:style>
  <w:style w:type="character" w:styleId="HeaderChar" w:customStyle="1">
    <w:name w:val="Header Char"/>
    <w:basedOn w:val="DefaultParagraphFont"/>
    <w:link w:val="Header"/>
    <w:uiPriority w:val="99"/>
  </w:style>
  <w:style w:type="paragraph" w:styleId="Footer" w:customStyle="1">
    <w:name w:val="footer"/>
    <w:basedOn w:val="Normal"/>
    <w:link w:val="FooterChar"/>
    <w:uiPriority w:val="99"/>
    <w:unhideWhenUsed w:val="1"/>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Heading7">
    <w:name w:val="heading 7"/>
    <w:basedOn w:val="Normal"/>
    <w:next w:val="Normal"/>
    <w:link w:val="Heading7Char"/>
    <w:uiPriority w:val="9"/>
    <w:semiHidden w:val="1"/>
    <w:unhideWhenUsed w:val="1"/>
    <w:qFormat w:val="1"/>
    <w:pPr>
      <w:keepNext w:val="1"/>
      <w:keepLines w:val="1"/>
      <w:spacing w:after="0" w:before="200"/>
      <w:outlineLvl w:val="6"/>
    </w:pPr>
    <w:rPr>
      <w:rFonts w:asciiTheme="majorHAnsi" w:cstheme="majorBidi" w:eastAsiaTheme="majorEastAsia" w:hAnsiTheme="majorHAnsi"/>
      <w:i w:val="1"/>
      <w:iCs w:val="1"/>
      <w:color w:val="3f3f3f"/>
    </w:rPr>
  </w:style>
  <w:style w:type="paragraph" w:styleId="Heading8">
    <w:name w:val="heading 8"/>
    <w:basedOn w:val="Normal"/>
    <w:next w:val="Normal"/>
    <w:link w:val="Heading8Char"/>
    <w:uiPriority w:val="9"/>
    <w:semiHidden w:val="1"/>
    <w:unhideWhenUsed w:val="1"/>
    <w:qFormat w:val="1"/>
    <w:pPr>
      <w:keepNext w:val="1"/>
      <w:keepLines w:val="1"/>
      <w:spacing w:after="0" w:before="200"/>
      <w:outlineLvl w:val="7"/>
    </w:pPr>
    <w:rPr>
      <w:rFonts w:asciiTheme="majorHAnsi" w:cstheme="majorBidi" w:eastAsiaTheme="majorEastAsia" w:hAnsiTheme="majorHAnsi"/>
      <w:color w:val="4f81bd"/>
      <w:sz w:val="20"/>
      <w:szCs w:val="20"/>
    </w:rPr>
  </w:style>
  <w:style w:type="paragraph" w:styleId="Heading9">
    <w:name w:val="heading 9"/>
    <w:basedOn w:val="Normal"/>
    <w:next w:val="Normal"/>
    <w:link w:val="Heading9Char"/>
    <w:uiPriority w:val="9"/>
    <w:semiHidden w:val="1"/>
    <w:unhideWhenUsed w:val="1"/>
    <w:qFormat w:val="1"/>
    <w:pPr>
      <w:keepNext w:val="1"/>
      <w:keepLines w:val="1"/>
      <w:spacing w:after="0" w:before="200"/>
      <w:outlineLvl w:val="8"/>
    </w:pPr>
    <w:rPr>
      <w:rFonts w:asciiTheme="majorHAnsi" w:cstheme="majorBidi" w:eastAsiaTheme="majorEastAsia" w:hAnsiTheme="majorHAnsi"/>
      <w:i w:val="1"/>
      <w:iCs w:val="1"/>
      <w:color w:val="3f3f3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pPr>
      <w:spacing w:after="0" w:line="240" w:lineRule="auto"/>
    </w:pPr>
  </w:style>
  <w:style w:type="character" w:styleId="Heading1Char" w:customStyle="1">
    <w:name w:val="Heading 1 Char"/>
    <w:basedOn w:val="DefaultParagraphFont"/>
    <w:link w:val="Heading1"/>
    <w:uiPriority w:val="9"/>
    <w:rPr>
      <w:rFonts w:asciiTheme="majorHAnsi" w:cstheme="majorBidi" w:eastAsiaTheme="majorEastAsia" w:hAnsiTheme="majorHAnsi"/>
      <w:b w:val="1"/>
      <w:bCs w:val="1"/>
      <w:color w:val="376092"/>
      <w:sz w:val="28"/>
      <w:szCs w:val="28"/>
    </w:rPr>
  </w:style>
  <w:style w:type="character" w:styleId="Heading2Char" w:customStyle="1">
    <w:name w:val="Heading 2 Char"/>
    <w:basedOn w:val="DefaultParagraphFont"/>
    <w:link w:val="Heading2"/>
    <w:uiPriority w:val="9"/>
    <w:rPr>
      <w:rFonts w:asciiTheme="majorHAnsi" w:cstheme="majorBidi" w:eastAsiaTheme="majorEastAsia" w:hAnsiTheme="majorHAnsi"/>
      <w:b w:val="1"/>
      <w:bCs w:val="1"/>
      <w:color w:val="4f81bd"/>
      <w:sz w:val="26"/>
      <w:szCs w:val="26"/>
    </w:rPr>
  </w:style>
  <w:style w:type="character" w:styleId="Heading3Char" w:customStyle="1">
    <w:name w:val="Heading 3 Char"/>
    <w:basedOn w:val="DefaultParagraphFont"/>
    <w:link w:val="Heading3"/>
    <w:uiPriority w:val="9"/>
    <w:rPr>
      <w:rFonts w:asciiTheme="majorHAnsi" w:cstheme="majorBidi" w:eastAsiaTheme="majorEastAsia" w:hAnsiTheme="majorHAnsi"/>
      <w:b w:val="1"/>
      <w:bCs w:val="1"/>
      <w:color w:val="4f81bd"/>
    </w:rPr>
  </w:style>
  <w:style w:type="character" w:styleId="TitleChar" w:customStyle="1">
    <w:name w:val="Title Char"/>
    <w:basedOn w:val="DefaultParagraphFont"/>
    <w:link w:val="Title"/>
    <w:uiPriority w:val="10"/>
    <w:rPr>
      <w:rFonts w:asciiTheme="majorHAnsi" w:cstheme="majorBidi" w:eastAsiaTheme="majorEastAsia" w:hAnsiTheme="majorHAnsi"/>
      <w:color w:val="17375e"/>
      <w:spacing w:val="5"/>
      <w:kern w:val="28"/>
      <w:sz w:val="52"/>
      <w:szCs w:val="52"/>
    </w:rPr>
  </w:style>
  <w:style w:type="character" w:styleId="SubtitleChar" w:customStyle="1">
    <w:name w:val="Subtitle Char"/>
    <w:basedOn w:val="DefaultParagraphFont"/>
    <w:link w:val="Subtitle"/>
    <w:uiPriority w:val="11"/>
    <w:rPr>
      <w:rFonts w:asciiTheme="majorHAnsi" w:cstheme="majorBidi" w:eastAsiaTheme="majorEastAsia" w:hAnsiTheme="majorHAnsi"/>
      <w:i w:val="1"/>
      <w:iCs w:val="1"/>
      <w:color w:val="4f81bd"/>
      <w:spacing w:val="15"/>
      <w:sz w:val="24"/>
      <w:szCs w:val="24"/>
    </w:rPr>
  </w:style>
  <w:style w:type="paragraph" w:styleId="ListParagraph">
    <w:name w:val="List Paragraph"/>
    <w:basedOn w:val="Normal"/>
    <w:uiPriority w:val="34"/>
    <w:qFormat w:val="1"/>
    <w:pPr>
      <w:ind w:left="720"/>
      <w:contextualSpacing w:val="1"/>
    </w:pPr>
  </w:style>
  <w:style w:type="paragraph" w:styleId="BodyText" w:customStyle="1">
    <w:name w:val="Body Text"/>
    <w:basedOn w:val="Normal"/>
    <w:link w:val="BodyTextChar"/>
    <w:uiPriority w:val="99"/>
    <w:unhideWhenUsed w:val="1"/>
    <w:pPr>
      <w:spacing w:after="120"/>
    </w:pPr>
  </w:style>
  <w:style w:type="character" w:styleId="BodyTextChar" w:customStyle="1">
    <w:name w:val="Body Text Char"/>
    <w:basedOn w:val="DefaultParagraphFont"/>
    <w:link w:val="BodyText"/>
    <w:uiPriority w:val="99"/>
  </w:style>
  <w:style w:type="paragraph" w:styleId="BodyText2" w:customStyle="1">
    <w:name w:val="Body Text 2"/>
    <w:basedOn w:val="Normal"/>
    <w:link w:val="BodyText2Char"/>
    <w:uiPriority w:val="99"/>
    <w:unhideWhenUsed w:val="1"/>
    <w:pPr>
      <w:spacing w:after="120" w:line="480" w:lineRule="auto"/>
    </w:pPr>
  </w:style>
  <w:style w:type="character" w:styleId="BodyText2Char" w:customStyle="1">
    <w:name w:val="Body Text 2 Char"/>
    <w:basedOn w:val="DefaultParagraphFont"/>
    <w:link w:val="BodyText2"/>
    <w:uiPriority w:val="99"/>
  </w:style>
  <w:style w:type="paragraph" w:styleId="BodyText3" w:customStyle="1">
    <w:name w:val="Body Text 3"/>
    <w:basedOn w:val="Normal"/>
    <w:link w:val="BodyText3Char"/>
    <w:uiPriority w:val="99"/>
    <w:unhideWhenUsed w:val="1"/>
    <w:pPr>
      <w:spacing w:after="120"/>
    </w:pPr>
    <w:rPr>
      <w:sz w:val="16"/>
      <w:szCs w:val="16"/>
    </w:rPr>
  </w:style>
  <w:style w:type="character" w:styleId="BodyText3Char" w:customStyle="1">
    <w:name w:val="Body Text 3 Char"/>
    <w:basedOn w:val="DefaultParagraphFont"/>
    <w:link w:val="BodyText3"/>
    <w:uiPriority w:val="99"/>
    <w:rPr>
      <w:sz w:val="16"/>
      <w:szCs w:val="16"/>
    </w:rPr>
  </w:style>
  <w:style w:type="paragraph" w:styleId="List" w:customStyle="1">
    <w:name w:val="List"/>
    <w:basedOn w:val="Normal"/>
    <w:uiPriority w:val="99"/>
    <w:unhideWhenUsed w:val="1"/>
    <w:pPr>
      <w:ind w:left="360" w:hanging="360"/>
      <w:contextualSpacing w:val="1"/>
    </w:pPr>
  </w:style>
  <w:style w:type="paragraph" w:styleId="List2" w:customStyle="1">
    <w:name w:val="List 2"/>
    <w:basedOn w:val="Normal"/>
    <w:uiPriority w:val="99"/>
    <w:unhideWhenUsed w:val="1"/>
    <w:pPr>
      <w:ind w:left="720" w:hanging="360"/>
      <w:contextualSpacing w:val="1"/>
    </w:pPr>
  </w:style>
  <w:style w:type="paragraph" w:styleId="List3" w:customStyle="1">
    <w:name w:val="List 3"/>
    <w:basedOn w:val="Normal"/>
    <w:uiPriority w:val="99"/>
    <w:unhideWhenUsed w:val="1"/>
    <w:pPr>
      <w:ind w:left="1080" w:hanging="360"/>
      <w:contextualSpacing w:val="1"/>
    </w:pPr>
  </w:style>
  <w:style w:type="paragraph" w:styleId="ListBullet" w:customStyle="1">
    <w:name w:val="List Bullet"/>
    <w:basedOn w:val="Normal"/>
    <w:uiPriority w:val="99"/>
    <w:unhideWhenUsed w:val="1"/>
    <w:pPr>
      <w:numPr>
        <w:ilvl w:val="0"/>
        <w:numId w:val="1"/>
      </w:numPr>
      <w:contextualSpacing w:val="1"/>
    </w:pPr>
  </w:style>
  <w:style w:type="paragraph" w:styleId="ListBullet2" w:customStyle="1">
    <w:name w:val="List Bullet 2"/>
    <w:basedOn w:val="Normal"/>
    <w:uiPriority w:val="99"/>
    <w:unhideWhenUsed w:val="1"/>
    <w:pPr>
      <w:numPr>
        <w:ilvl w:val="0"/>
        <w:numId w:val="2"/>
      </w:numPr>
      <w:contextualSpacing w:val="1"/>
    </w:pPr>
  </w:style>
  <w:style w:type="paragraph" w:styleId="ListBullet3" w:customStyle="1">
    <w:name w:val="List Bullet 3"/>
    <w:basedOn w:val="Normal"/>
    <w:uiPriority w:val="99"/>
    <w:unhideWhenUsed w:val="1"/>
    <w:pPr>
      <w:numPr>
        <w:ilvl w:val="0"/>
        <w:numId w:val="3"/>
      </w:numPr>
      <w:contextualSpacing w:val="1"/>
    </w:pPr>
  </w:style>
  <w:style w:type="paragraph" w:styleId="ListNumber" w:customStyle="1">
    <w:name w:val="List Number"/>
    <w:basedOn w:val="Normal"/>
    <w:uiPriority w:val="99"/>
    <w:unhideWhenUsed w:val="1"/>
    <w:pPr>
      <w:numPr>
        <w:ilvl w:val="0"/>
        <w:numId w:val="4"/>
      </w:numPr>
      <w:contextualSpacing w:val="1"/>
    </w:pPr>
  </w:style>
  <w:style w:type="paragraph" w:styleId="ListNumber2" w:customStyle="1">
    <w:name w:val="List Number 2"/>
    <w:basedOn w:val="Normal"/>
    <w:uiPriority w:val="99"/>
    <w:unhideWhenUsed w:val="1"/>
    <w:pPr>
      <w:numPr>
        <w:ilvl w:val="0"/>
        <w:numId w:val="5"/>
      </w:numPr>
      <w:contextualSpacing w:val="1"/>
    </w:pPr>
  </w:style>
  <w:style w:type="paragraph" w:styleId="ListNumber3" w:customStyle="1">
    <w:name w:val="List Number 3"/>
    <w:basedOn w:val="Normal"/>
    <w:uiPriority w:val="99"/>
    <w:unhideWhenUsed w:val="1"/>
    <w:pPr>
      <w:numPr>
        <w:ilvl w:val="0"/>
        <w:numId w:val="6"/>
      </w:numPr>
      <w:contextualSpacing w:val="1"/>
    </w:pPr>
  </w:style>
  <w:style w:type="paragraph" w:styleId="ListContinue" w:customStyle="1">
    <w:name w:val="List Continue"/>
    <w:basedOn w:val="Normal"/>
    <w:uiPriority w:val="99"/>
    <w:unhideWhenUsed w:val="1"/>
    <w:pPr>
      <w:spacing w:after="120"/>
      <w:ind w:left="360"/>
      <w:contextualSpacing w:val="1"/>
    </w:pPr>
  </w:style>
  <w:style w:type="paragraph" w:styleId="ListContinue2" w:customStyle="1">
    <w:name w:val="List Continue 2"/>
    <w:basedOn w:val="Normal"/>
    <w:uiPriority w:val="99"/>
    <w:unhideWhenUsed w:val="1"/>
    <w:pPr>
      <w:spacing w:after="120"/>
      <w:ind w:left="720"/>
      <w:contextualSpacing w:val="1"/>
    </w:pPr>
  </w:style>
  <w:style w:type="paragraph" w:styleId="ListContinue3" w:customStyle="1">
    <w:name w:val="List Continue 3"/>
    <w:basedOn w:val="Normal"/>
    <w:uiPriority w:val="99"/>
    <w:unhideWhenUsed w:val="1"/>
    <w:pPr>
      <w:spacing w:after="120"/>
      <w:ind w:left="1080"/>
      <w:contextualSpacing w:val="1"/>
    </w:pPr>
  </w:style>
  <w:style w:type="paragraph" w:styleId="MacroText" w:customStyle="1">
    <w:name w:val="macro"/>
    <w:link w:val="MacroTextChar"/>
    <w:uiPriority w:val="99"/>
    <w:unhideWhenUsed w:val="1"/>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val="1"/>
    <w:rPr>
      <w:i w:val="1"/>
      <w:iCs w:val="1"/>
      <w:color w:val="000000"/>
    </w:rPr>
  </w:style>
  <w:style w:type="character" w:styleId="QuoteChar" w:customStyle="1">
    <w:name w:val="Quote Char"/>
    <w:basedOn w:val="DefaultParagraphFont"/>
    <w:link w:val="Quote"/>
    <w:uiPriority w:val="29"/>
    <w:rPr>
      <w:i w:val="1"/>
      <w:iCs w:val="1"/>
      <w:color w:val="000000"/>
    </w:rPr>
  </w:style>
  <w:style w:type="character" w:styleId="Heading4Char" w:customStyle="1">
    <w:name w:val="Heading 4 Char"/>
    <w:basedOn w:val="DefaultParagraphFont"/>
    <w:link w:val="Heading4"/>
    <w:uiPriority w:val="9"/>
    <w:semiHidden w:val="1"/>
    <w:rPr>
      <w:rFonts w:asciiTheme="majorHAnsi" w:cstheme="majorBidi" w:eastAsiaTheme="majorEastAsia" w:hAnsiTheme="majorHAnsi"/>
      <w:b w:val="1"/>
      <w:bCs w:val="1"/>
      <w:i w:val="1"/>
      <w:iCs w:val="1"/>
      <w:color w:val="4f81bd"/>
    </w:rPr>
  </w:style>
  <w:style w:type="character" w:styleId="Heading5Char" w:customStyle="1">
    <w:name w:val="Heading 5 Char"/>
    <w:basedOn w:val="DefaultParagraphFont"/>
    <w:link w:val="Heading5"/>
    <w:uiPriority w:val="9"/>
    <w:semiHidden w:val="1"/>
    <w:rPr>
      <w:rFonts w:asciiTheme="majorHAnsi" w:cstheme="majorBidi" w:eastAsiaTheme="majorEastAsia" w:hAnsiTheme="majorHAnsi"/>
      <w:color w:val="244061"/>
    </w:rPr>
  </w:style>
  <w:style w:type="character" w:styleId="Heading6Char" w:customStyle="1">
    <w:name w:val="Heading 6 Char"/>
    <w:basedOn w:val="DefaultParagraphFont"/>
    <w:link w:val="Heading6"/>
    <w:uiPriority w:val="9"/>
    <w:semiHidden w:val="1"/>
    <w:rPr>
      <w:rFonts w:asciiTheme="majorHAnsi" w:cstheme="majorBidi" w:eastAsiaTheme="majorEastAsia" w:hAnsiTheme="majorHAnsi"/>
      <w:i w:val="1"/>
      <w:iCs w:val="1"/>
      <w:color w:val="244061"/>
    </w:rPr>
  </w:style>
  <w:style w:type="character" w:styleId="Heading7Char" w:customStyle="1">
    <w:name w:val="Heading 7 Char"/>
    <w:basedOn w:val="DefaultParagraphFont"/>
    <w:link w:val="Heading7"/>
    <w:uiPriority w:val="9"/>
    <w:semiHidden w:val="1"/>
    <w:rPr>
      <w:rFonts w:asciiTheme="majorHAnsi" w:cstheme="majorBidi" w:eastAsiaTheme="majorEastAsia" w:hAnsiTheme="majorHAnsi"/>
      <w:i w:val="1"/>
      <w:iCs w:val="1"/>
      <w:color w:val="3f3f3f"/>
    </w:rPr>
  </w:style>
  <w:style w:type="character" w:styleId="Heading8Char" w:customStyle="1">
    <w:name w:val="Heading 8 Char"/>
    <w:basedOn w:val="DefaultParagraphFont"/>
    <w:link w:val="Heading8"/>
    <w:uiPriority w:val="9"/>
    <w:semiHidden w:val="1"/>
    <w:rPr>
      <w:rFonts w:asciiTheme="majorHAnsi" w:cstheme="majorBidi" w:eastAsiaTheme="majorEastAsia" w:hAnsiTheme="majorHAnsi"/>
      <w:color w:val="4f81bd"/>
      <w:sz w:val="20"/>
      <w:szCs w:val="20"/>
    </w:rPr>
  </w:style>
  <w:style w:type="character" w:styleId="Heading9Char" w:customStyle="1">
    <w:name w:val="Heading 9 Char"/>
    <w:basedOn w:val="DefaultParagraphFont"/>
    <w:link w:val="Heading9"/>
    <w:uiPriority w:val="9"/>
    <w:semiHidden w:val="1"/>
    <w:rPr>
      <w:rFonts w:asciiTheme="majorHAnsi" w:cstheme="majorBidi" w:eastAsiaTheme="majorEastAsia" w:hAnsiTheme="majorHAnsi"/>
      <w:i w:val="1"/>
      <w:iCs w:val="1"/>
      <w:color w:val="3f3f3f"/>
      <w:sz w:val="20"/>
      <w:szCs w:val="20"/>
    </w:rPr>
  </w:style>
  <w:style w:type="paragraph" w:styleId="Caption">
    <w:name w:val="caption"/>
    <w:basedOn w:val="Normal"/>
    <w:next w:val="Normal"/>
    <w:uiPriority w:val="35"/>
    <w:semiHidden w:val="1"/>
    <w:unhideWhenUsed w:val="1"/>
    <w:qFormat w:val="1"/>
    <w:pPr>
      <w:spacing w:line="240" w:lineRule="auto"/>
    </w:pPr>
    <w:rPr>
      <w:b w:val="1"/>
      <w:bCs w:val="1"/>
      <w:color w:val="4f81bd"/>
      <w:sz w:val="18"/>
      <w:szCs w:val="18"/>
    </w:rPr>
  </w:style>
  <w:style w:type="character" w:styleId="Strong">
    <w:name w:val="Strong"/>
    <w:basedOn w:val="DefaultParagraphFont"/>
    <w:uiPriority w:val="22"/>
    <w:qFormat w:val="1"/>
    <w:rPr>
      <w:b w:val="1"/>
      <w:bCs w:val="1"/>
    </w:rPr>
  </w:style>
  <w:style w:type="character" w:styleId="Emphasis">
    <w:name w:val="Emphasis"/>
    <w:basedOn w:val="DefaultParagraphFont"/>
    <w:uiPriority w:val="20"/>
    <w:qFormat w:val="1"/>
    <w:rPr>
      <w:i w:val="1"/>
      <w:iCs w:val="1"/>
    </w:rPr>
  </w:style>
  <w:style w:type="paragraph" w:styleId="IntenseQuote">
    <w:name w:val="Intense Quote"/>
    <w:basedOn w:val="Normal"/>
    <w:next w:val="Normal"/>
    <w:link w:val="IntenseQuoteChar"/>
    <w:uiPriority w:val="30"/>
    <w:qFormat w:val="1"/>
    <w:pPr>
      <w:pBdr>
        <w:bottom w:color="4f81bd" w:space="4" w:sz="4" w:themeColor="accent1" w:val="single"/>
      </w:pBdr>
      <w:spacing w:after="280" w:before="200"/>
      <w:ind w:left="936" w:right="936"/>
    </w:pPr>
    <w:rPr>
      <w:b w:val="1"/>
      <w:bCs w:val="1"/>
      <w:i w:val="1"/>
      <w:iCs w:val="1"/>
      <w:color w:val="4f81bd"/>
    </w:rPr>
  </w:style>
  <w:style w:type="character" w:styleId="IntenseQuoteChar" w:customStyle="1">
    <w:name w:val="Intense Quote Char"/>
    <w:basedOn w:val="DefaultParagraphFont"/>
    <w:link w:val="IntenseQuote"/>
    <w:uiPriority w:val="30"/>
    <w:rPr>
      <w:b w:val="1"/>
      <w:bCs w:val="1"/>
      <w:i w:val="1"/>
      <w:iCs w:val="1"/>
      <w:color w:val="4f81bd"/>
    </w:rPr>
  </w:style>
  <w:style w:type="character" w:styleId="SubtleEmphasis">
    <w:name w:val="Subtle Emphasis"/>
    <w:basedOn w:val="DefaultParagraphFont"/>
    <w:uiPriority w:val="19"/>
    <w:qFormat w:val="1"/>
    <w:rPr>
      <w:i w:val="1"/>
      <w:iCs w:val="1"/>
      <w:color w:val="7f7f7f"/>
    </w:rPr>
  </w:style>
  <w:style w:type="character" w:styleId="IntenseEmphasis">
    <w:name w:val="Intense Emphasis"/>
    <w:basedOn w:val="DefaultParagraphFont"/>
    <w:uiPriority w:val="21"/>
    <w:qFormat w:val="1"/>
    <w:rPr>
      <w:b w:val="1"/>
      <w:bCs w:val="1"/>
      <w:i w:val="1"/>
      <w:iCs w:val="1"/>
      <w:color w:val="4f81bd"/>
    </w:rPr>
  </w:style>
  <w:style w:type="character" w:styleId="SubtleReference">
    <w:name w:val="Subtle Reference"/>
    <w:basedOn w:val="DefaultParagraphFont"/>
    <w:uiPriority w:val="31"/>
    <w:qFormat w:val="1"/>
    <w:rPr>
      <w:smallCaps w:val="1"/>
      <w:color w:val="c0504d"/>
      <w:u w:color="auto" w:val="single"/>
    </w:rPr>
  </w:style>
  <w:style w:type="character" w:styleId="IntenseReference">
    <w:name w:val="Intense Reference"/>
    <w:basedOn w:val="DefaultParagraphFont"/>
    <w:uiPriority w:val="32"/>
    <w:qFormat w:val="1"/>
    <w:rPr>
      <w:b w:val="1"/>
      <w:bCs w:val="1"/>
      <w:smallCaps w:val="1"/>
      <w:color w:val="c0504d"/>
      <w:spacing w:val="5"/>
      <w:u w:color="auto" w:val="single"/>
    </w:rPr>
  </w:style>
  <w:style w:type="character" w:styleId="BookTitle">
    <w:name w:val="Book Title"/>
    <w:basedOn w:val="DefaultParagraphFont"/>
    <w:uiPriority w:val="33"/>
    <w:qFormat w:val="1"/>
    <w:rPr>
      <w:b w:val="1"/>
      <w:bCs w:val="1"/>
      <w:smallCaps w:val="1"/>
      <w:spacing w:val="5"/>
    </w:rPr>
  </w:style>
  <w:style w:type="paragraph" w:styleId="TOCHeading">
    <w:name w:val="TOC Heading"/>
    <w:basedOn w:val="Heading1"/>
    <w:next w:val="Normal"/>
    <w:uiPriority w:val="39"/>
    <w:semiHidden w:val="1"/>
    <w:unhideWhenUsed w:val="1"/>
    <w:qFormat w:val="1"/>
    <w:pPr>
      <w:outlineLvl w:val="9"/>
    </w:pPr>
  </w:style>
  <w:style w:type="table" w:styleId="TableGrid">
    <w:name w:val="Table Grid"/>
    <w:basedOn w:val="TableNormal"/>
    <w:uiPriority w:val="59"/>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pPr>
      <w:spacing w:after="0" w:line="240" w:lineRule="auto"/>
    </w:pPr>
    <w:rPr>
      <w:color w:val="000000"/>
    </w:rPr>
    <w:tblPr>
      <w:tblStyleRowBandSize w:val="1"/>
      <w:tblStyleColBandSize w:val="1"/>
      <w:tblInd w:w="0.0" w:type="dxa"/>
      <w:tblBorders>
        <w:top w:color="000000" w:space="0" w:sz="8" w:val="single"/>
        <w:bottom w:color="000000" w:space="0" w:sz="8"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bfbfbf" w:themeFillTint="00003F" w:val="clear"/>
      </w:tcPr>
    </w:tblStylePr>
    <w:tblStylePr w:type="band1Horz">
      <w:tblPr/>
      <w:tcPr>
        <w:tcBorders>
          <w:left w:space="0" w:sz="0" w:val="nil"/>
          <w:right w:space="0" w:sz="0" w:val="nil"/>
          <w:insideH w:space="0" w:sz="0" w:val="nil"/>
          <w:insideV w:space="0" w:sz="0" w:val="nil"/>
        </w:tcBorders>
        <w:shd w:color="auto" w:fill="bfbfbf" w:themeFillTint="00003F" w:val="clear"/>
      </w:tcPr>
    </w:tblStylePr>
  </w:style>
  <w:style w:type="table" w:styleId="LightShading-Accent1">
    <w:name w:val="Light Shading Accent 1"/>
    <w:basedOn w:val="TableNormal"/>
    <w:uiPriority w:val="60"/>
    <w:pPr>
      <w:spacing w:after="0" w:line="240" w:lineRule="auto"/>
    </w:pPr>
    <w:rPr>
      <w:color w:val="376092"/>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pPr>
      <w:spacing w:after="0" w:line="240" w:lineRule="auto"/>
    </w:pPr>
    <w:rPr>
      <w:color w:val="953735"/>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3" w:themeFill="accent2" w:themeFillTint="00003F" w:val="clear"/>
      </w:tcPr>
    </w:tblStylePr>
    <w:tblStylePr w:type="band1Horz">
      <w:tblPr/>
      <w:tcPr>
        <w:tcBorders>
          <w:left w:space="0" w:sz="0" w:val="nil"/>
          <w:right w:space="0" w:sz="0" w:val="nil"/>
          <w:insideH w:space="0" w:sz="0" w:val="nil"/>
          <w:insideV w:space="0" w:sz="0" w:val="nil"/>
        </w:tcBorders>
        <w:shd w:color="auto" w:fill="efd3d3" w:themeFill="accent2" w:themeFillTint="00003F" w:val="clear"/>
      </w:tcPr>
    </w:tblStylePr>
  </w:style>
  <w:style w:type="table" w:styleId="LightShading-Accent3">
    <w:name w:val="Light Shading Accent 3"/>
    <w:basedOn w:val="TableNormal"/>
    <w:uiPriority w:val="60"/>
    <w:pPr>
      <w:spacing w:after="0" w:line="240" w:lineRule="auto"/>
    </w:pPr>
    <w:rPr>
      <w:color w:val="76933c"/>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pPr>
      <w:spacing w:after="0" w:line="240" w:lineRule="auto"/>
    </w:pPr>
    <w:rPr>
      <w:color w:val="604a7b"/>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pPr>
      <w:spacing w:after="0" w:line="240" w:lineRule="auto"/>
    </w:pPr>
    <w:rPr>
      <w:color w:val="31859b"/>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0" w:themeFill="accent5" w:themeFillTint="00003F" w:val="clear"/>
      </w:tcPr>
    </w:tblStylePr>
    <w:tblStylePr w:type="band1Horz">
      <w:tblPr/>
      <w:tcPr>
        <w:tcBorders>
          <w:left w:space="0" w:sz="0" w:val="nil"/>
          <w:right w:space="0" w:sz="0" w:val="nil"/>
          <w:insideH w:space="0" w:sz="0" w:val="nil"/>
          <w:insideV w:space="0" w:sz="0" w:val="nil"/>
        </w:tcBorders>
        <w:shd w:color="auto" w:fill="d2eaf0" w:themeFill="accent5" w:themeFillTint="00003F" w:val="clear"/>
      </w:tcPr>
    </w:tblStylePr>
  </w:style>
  <w:style w:type="table" w:styleId="LightShading-Accent6">
    <w:name w:val="Light Shading Accent 6"/>
    <w:basedOn w:val="TableNormal"/>
    <w:uiPriority w:val="60"/>
    <w:pPr>
      <w:spacing w:after="0" w:line="240" w:lineRule="auto"/>
    </w:pPr>
    <w:rPr>
      <w:color w:val="e46c0a"/>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5d1" w:themeFill="accent6" w:themeFillTint="00003F" w:val="clear"/>
      </w:tcPr>
    </w:tblStylePr>
    <w:tblStylePr w:type="band1Horz">
      <w:tblPr/>
      <w:tcPr>
        <w:tcBorders>
          <w:left w:space="0" w:sz="0" w:val="nil"/>
          <w:right w:space="0" w:sz="0" w:val="nil"/>
          <w:insideH w:space="0" w:sz="0" w:val="nil"/>
          <w:insideV w:space="0" w:sz="0" w:val="nil"/>
        </w:tcBorders>
        <w:shd w:color="auto" w:fill="fde5d1" w:themeFill="accent6" w:themeFillTint="00003F" w:val="clear"/>
      </w:tcPr>
    </w:tblStylePr>
  </w:style>
  <w:style w:type="table" w:styleId="LightList">
    <w:name w:val="Light List"/>
    <w:basedOn w:val="TableNormal"/>
    <w:uiPriority w:val="61"/>
    <w:pPr>
      <w:spacing w:after="0" w:line="240" w:lineRule="auto"/>
    </w:pPr>
    <w:tblPr>
      <w:tblStyleRowBandSize w:val="1"/>
      <w:tblStyleColBandSize w:val="1"/>
      <w:tblInd w:w="0.0" w:type="dxa"/>
      <w:tblBorders>
        <w:top w:color="000000" w:space="0" w:sz="8" w:val="single"/>
        <w:left w:color="000000" w:space="0" w:sz="8" w:val="single"/>
        <w:bottom w:color="000000" w:space="0" w:sz="8" w:val="single"/>
        <w:right w:color="000000" w:space="0" w:sz="8" w:val="single"/>
      </w:tblBorders>
      <w:tblCellMar>
        <w:top w:w="0.0" w:type="dxa"/>
        <w:left w:w="108.0" w:type="dxa"/>
        <w:bottom w:w="0.0" w:type="dxa"/>
        <w:right w:w="108.0" w:type="dxa"/>
      </w:tblCellMar>
    </w:tblPr>
    <w:tblStylePr w:type="firstRow">
      <w:pPr>
        <w:spacing w:after="0" w:before="0" w:line="240" w:lineRule="auto"/>
      </w:pPr>
      <w:rPr>
        <w:b w:val="1"/>
        <w:bCs w:val="1"/>
        <w:color w:val="ffffff"/>
      </w:rPr>
      <w:tblPr/>
      <w:tcPr>
        <w:shd w:color="auto" w:fill="000000" w:val="clear"/>
      </w:tcPr>
    </w:tblStylePr>
    <w:tblStylePr w:type="lastRow">
      <w:pPr>
        <w:spacing w:after="0" w:before="0" w:line="240" w:lineRule="auto"/>
      </w:pPr>
      <w:rPr>
        <w:b w:val="1"/>
        <w:bCs w:val="1"/>
      </w:rPr>
      <w:tblPr/>
      <w:tcPr>
        <w:tcBorders>
          <w:top w:color="000000" w:space="0" w:sz="6" w:val="double"/>
          <w:left w:color="000000" w:space="0" w:sz="8" w:val="single"/>
          <w:bottom w:color="000000" w:space="0" w:sz="8" w:val="single"/>
          <w:right w:color="000000" w:space="0" w:sz="8" w:val="single"/>
        </w:tcBorders>
      </w:tcPr>
    </w:tblStylePr>
    <w:tblStylePr w:type="firstCol">
      <w:rPr>
        <w:b w:val="1"/>
        <w:bCs w:val="1"/>
      </w:rPr>
    </w:tblStylePr>
    <w:tblStylePr w:type="lastCol">
      <w:rPr>
        <w:b w:val="1"/>
        <w:bCs w:val="1"/>
      </w:rPr>
    </w:tblStylePr>
    <w:tblStylePr w:type="band1Vert">
      <w:tblPr/>
      <w:tcPr>
        <w:tcBorders>
          <w:top w:color="000000" w:space="0" w:sz="8" w:val="single"/>
          <w:left w:color="000000" w:space="0" w:sz="8" w:val="single"/>
          <w:bottom w:color="000000" w:space="0" w:sz="8" w:val="single"/>
          <w:right w:color="000000" w:space="0" w:sz="8" w:val="single"/>
        </w:tcBorders>
      </w:tcPr>
    </w:tblStylePr>
    <w:tblStylePr w:type="band1Horz">
      <w:tblPr/>
      <w:tcPr>
        <w:tcBorders>
          <w:top w:color="000000" w:space="0" w:sz="8" w:val="single"/>
          <w:left w:color="000000" w:space="0" w:sz="8" w:val="single"/>
          <w:bottom w:color="000000" w:space="0" w:sz="8" w:val="single"/>
          <w:right w:color="000000" w:space="0" w:sz="8" w:val="single"/>
        </w:tcBorders>
      </w:tcPr>
    </w:tblStylePr>
  </w:style>
  <w:style w:type="table" w:styleId="LightList-Accent1">
    <w:name w:val="Light List Accent 1"/>
    <w:basedOn w:val="TableNormal"/>
    <w:uiPriority w:val="61"/>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pPr>
      <w:spacing w:after="0" w:line="240" w:lineRule="auto"/>
    </w:pPr>
    <w:tblPr>
      <w:tblStyleRowBandSize w:val="1"/>
      <w:tblStyleColBandSize w:val="1"/>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val="single"/>
          <w:left w:color="000000" w:space="0" w:sz="8" w:val="single"/>
          <w:bottom w:color="000000" w:space="0" w:sz="18" w:val="single"/>
          <w:right w:color="000000" w:space="0" w:sz="8" w:val="single"/>
          <w:insideH w:space="0" w:sz="0" w:val="nil"/>
          <w:insideV w:color="000000"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val="double"/>
          <w:left w:color="000000" w:space="0" w:sz="8" w:val="single"/>
          <w:bottom w:color="000000" w:space="0" w:sz="8" w:val="single"/>
          <w:right w:color="000000" w:space="0" w:sz="8" w:val="single"/>
          <w:insideH w:space="0" w:sz="0" w:val="nil"/>
          <w:insideV w:color="000000"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val="single"/>
          <w:left w:color="000000" w:space="0" w:sz="8" w:val="single"/>
          <w:bottom w:color="000000" w:space="0" w:sz="8" w:val="single"/>
          <w:right w:color="000000" w:space="0" w:sz="8" w:val="single"/>
        </w:tcBorders>
      </w:tcPr>
    </w:tblStylePr>
    <w:tblStylePr w:type="band1Vert">
      <w:tblPr/>
      <w:tcPr>
        <w:tcBorders>
          <w:top w:color="000000" w:space="0" w:sz="8" w:val="single"/>
          <w:left w:color="000000" w:space="0" w:sz="8" w:val="single"/>
          <w:bottom w:color="000000" w:space="0" w:sz="8" w:val="single"/>
          <w:right w:color="000000" w:space="0" w:sz="8" w:val="single"/>
        </w:tcBorders>
        <w:shd w:color="auto" w:fill="bfbfbf" w:themeFillTint="00003F" w:val="clear"/>
      </w:tcPr>
    </w:tblStylePr>
    <w:tblStylePr w:type="band1Horz">
      <w:tblPr/>
      <w:tcPr>
        <w:tcBorders>
          <w:top w:color="000000" w:space="0" w:sz="8" w:val="single"/>
          <w:left w:color="000000" w:space="0" w:sz="8" w:val="single"/>
          <w:bottom w:color="000000" w:space="0" w:sz="8" w:val="single"/>
          <w:right w:color="000000" w:space="0" w:sz="8" w:val="single"/>
          <w:insideV w:color="000000" w:space="0" w:sz="8" w:val="single"/>
        </w:tcBorders>
        <w:shd w:color="auto" w:fill="bfbfbf" w:themeFillTint="00003F" w:val="clear"/>
      </w:tcPr>
    </w:tblStylePr>
    <w:tblStylePr w:type="band2Horz">
      <w:tblPr/>
      <w:tcPr>
        <w:tcBorders>
          <w:top w:color="000000" w:space="0" w:sz="8" w:val="single"/>
          <w:left w:color="000000" w:space="0" w:sz="8" w:val="single"/>
          <w:bottom w:color="000000" w:space="0" w:sz="8" w:val="single"/>
          <w:right w:color="000000" w:space="0" w:sz="8" w:val="single"/>
          <w:insideV w:color="000000" w:space="0" w:sz="8" w:val="single"/>
        </w:tcBorders>
      </w:tcPr>
    </w:tblStylePr>
  </w:style>
  <w:style w:type="table" w:styleId="LightGrid-Accent1">
    <w:name w:val="Light Grid Accent 1"/>
    <w:basedOn w:val="TableNormal"/>
    <w:uiPriority w:val="62"/>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3"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3"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0"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0"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5d1"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5d1"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pPr>
      <w:spacing w:after="0" w:line="240" w:lineRule="auto"/>
    </w:pPr>
    <w:tblPr>
      <w:tblStyleRowBandSize w:val="1"/>
      <w:tblStyleColBandSize w:val="1"/>
      <w:tblInd w:w="0.0" w:type="dxa"/>
      <w:tblBorders>
        <w:top w:color="3f3f3f" w:space="0" w:sz="8" w:themeTint="0000BF" w:val="single"/>
        <w:left w:color="3f3f3f" w:space="0" w:sz="8" w:themeTint="0000BF" w:val="single"/>
        <w:bottom w:color="3f3f3f" w:space="0" w:sz="8" w:themeTint="0000BF" w:val="single"/>
        <w:right w:color="3f3f3f" w:space="0" w:sz="8" w:themeTint="0000BF" w:val="single"/>
        <w:insideH w:color="3f3f3f" w:space="0" w:sz="8"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rPr>
      <w:tblPr/>
      <w:tcPr>
        <w:tcBorders>
          <w:top w:color="3f3f3f" w:space="0" w:sz="8" w:themeTint="0000BF" w:val="single"/>
          <w:left w:color="3f3f3f" w:space="0" w:sz="8" w:themeTint="0000BF" w:val="single"/>
          <w:bottom w:color="3f3f3f" w:space="0" w:sz="8" w:themeTint="0000BF" w:val="single"/>
          <w:right w:color="3f3f3f" w:space="0" w:sz="8" w:themeTint="0000BF" w:val="single"/>
          <w:insideH w:space="0" w:sz="0" w:val="nil"/>
          <w:insideV w:space="0" w:sz="0" w:val="nil"/>
        </w:tcBorders>
        <w:shd w:color="auto" w:fill="000000" w:val="clear"/>
      </w:tcPr>
    </w:tblStylePr>
    <w:tblStylePr w:type="lastRow">
      <w:pPr>
        <w:spacing w:after="0" w:before="0" w:line="240" w:lineRule="auto"/>
      </w:pPr>
      <w:rPr>
        <w:b w:val="1"/>
        <w:bCs w:val="1"/>
      </w:rPr>
      <w:tblPr/>
      <w:tcPr>
        <w:tcBorders>
          <w:top w:color="3f3f3f" w:space="0" w:sz="6" w:themeTint="0000BF" w:val="double"/>
          <w:left w:color="3f3f3f" w:space="0" w:sz="8" w:themeTint="0000BF" w:val="single"/>
          <w:bottom w:color="3f3f3f" w:space="0" w:sz="8" w:themeTint="0000BF" w:val="single"/>
          <w:right w:color="3f3f3f" w:space="0" w:sz="8"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bfbfbf" w:themeFillTint="00003F" w:val="clear"/>
      </w:tcPr>
    </w:tblStylePr>
    <w:tblStylePr w:type="band1Horz">
      <w:tblPr/>
      <w:tcPr>
        <w:tcBorders>
          <w:insideH w:space="0" w:sz="0" w:val="nil"/>
          <w:insideV w:space="0" w:sz="0" w:val="nil"/>
        </w:tcBorders>
        <w:shd w:color="auto" w:fill="bfbfbf"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3" w:themeFill="accent2" w:themeFillTint="00003F" w:val="clear"/>
      </w:tcPr>
    </w:tblStylePr>
    <w:tblStylePr w:type="band1Horz">
      <w:tblPr/>
      <w:tcPr>
        <w:tcBorders>
          <w:insideH w:space="0" w:sz="0" w:val="nil"/>
          <w:insideV w:space="0" w:sz="0" w:val="nil"/>
        </w:tcBorders>
        <w:shd w:color="auto" w:fill="efd3d3"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Ind w:w="0.0" w:type="dxa"/>
      <w:tblBorders>
        <w:top w:color="b4cc82" w:space="0" w:sz="8" w:themeColor="accent3" w:themeTint="0000BF" w:val="single"/>
        <w:left w:color="b4cc82" w:space="0" w:sz="8" w:themeColor="accent3" w:themeTint="0000BF" w:val="single"/>
        <w:bottom w:color="b4cc82" w:space="0" w:sz="8" w:themeColor="accent3" w:themeTint="0000BF" w:val="single"/>
        <w:right w:color="b4cc82" w:space="0" w:sz="8" w:themeColor="accent3" w:themeTint="0000BF" w:val="single"/>
        <w:insideH w:color="b4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rPr>
      <w:tblPr/>
      <w:tcPr>
        <w:tcBorders>
          <w:top w:color="b4cc82" w:space="0" w:sz="8" w:themeColor="accent3" w:themeTint="0000BF" w:val="single"/>
          <w:left w:color="b4cc82" w:space="0" w:sz="8" w:themeColor="accent3" w:themeTint="0000BF" w:val="single"/>
          <w:bottom w:color="b4cc82" w:space="0" w:sz="8" w:themeColor="accent3" w:themeTint="0000BF" w:val="single"/>
          <w:right w:color="b4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4cc82" w:space="0" w:sz="6" w:themeColor="accent3" w:themeTint="0000BF" w:val="double"/>
          <w:left w:color="b4cc82" w:space="0" w:sz="8" w:themeColor="accent3" w:themeTint="0000BF" w:val="single"/>
          <w:bottom w:color="b4cc82" w:space="0" w:sz="8" w:themeColor="accent3" w:themeTint="0000BF" w:val="single"/>
          <w:right w:color="b4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0" w:themeFill="accent5" w:themeFillTint="00003F" w:val="clear"/>
      </w:tcPr>
    </w:tblStylePr>
    <w:tblStylePr w:type="band1Horz">
      <w:tblPr/>
      <w:tcPr>
        <w:tcBorders>
          <w:insideH w:space="0" w:sz="0" w:val="nil"/>
          <w:insideV w:space="0" w:sz="0" w:val="nil"/>
        </w:tcBorders>
        <w:shd w:color="auto" w:fill="d2eaf0"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5d1" w:themeFill="accent6" w:themeFillTint="00003F" w:val="clear"/>
      </w:tcPr>
    </w:tblStylePr>
    <w:tblStylePr w:type="band1Horz">
      <w:tblPr/>
      <w:tcPr>
        <w:tcBorders>
          <w:insideH w:space="0" w:sz="0" w:val="nil"/>
          <w:insideV w:space="0" w:sz="0" w:val="nil"/>
        </w:tcBorders>
        <w:shd w:color="auto" w:fill="fde5d1"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rPr>
      <w:tblPr/>
      <w:tcPr>
        <w:tcBorders>
          <w:top w:color="auto" w:space="0" w:sz="18" w:val="single"/>
          <w:left w:space="0" w:sz="0" w:val="nil"/>
          <w:bottom w:color="auto" w:space="0" w:sz="18" w:val="single"/>
          <w:right w:space="0" w:sz="0" w:val="nil"/>
          <w:insideH w:space="0" w:sz="0" w:val="nil"/>
          <w:insideV w:space="0" w:sz="0" w:val="nil"/>
        </w:tcBorders>
        <w:shd w:color="auto" w:fill="000000"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val="clear"/>
      </w:tcPr>
    </w:tblStylePr>
    <w:tblStylePr w:type="firstCol">
      <w:rPr>
        <w:b w:val="1"/>
        <w:bCs w:val="1"/>
        <w:color w:val="ffffff"/>
      </w:rPr>
      <w:tblPr/>
      <w:tcPr>
        <w:tcBorders>
          <w:top w:space="0" w:sz="0" w:val="nil"/>
          <w:left w:space="0" w:sz="0" w:val="nil"/>
          <w:bottom w:color="auto" w:space="0" w:sz="18" w:val="single"/>
          <w:right w:space="0" w:sz="0" w:val="nil"/>
          <w:insideH w:space="0" w:sz="0" w:val="nil"/>
          <w:insideV w:space="0" w:sz="0" w:val="nil"/>
        </w:tcBorders>
        <w:shd w:color="auto" w:fill="000000" w:val="clear"/>
      </w:tcPr>
    </w:tblStylePr>
    <w:tblStylePr w:type="lastCol">
      <w:rPr>
        <w:b w:val="1"/>
        <w:bCs w:val="1"/>
        <w:color w:val="ffffff"/>
      </w:rPr>
      <w:tblPr/>
      <w:tcPr>
        <w:tcBorders>
          <w:left w:space="0" w:sz="0" w:val="nil"/>
          <w:right w:space="0" w:sz="0" w:val="nil"/>
          <w:insideH w:space="0" w:sz="0" w:val="nil"/>
          <w:insideV w:space="0" w:sz="0" w:val="nil"/>
        </w:tcBorders>
        <w:shd w:color="auto" w:fill="000000" w:val="clear"/>
      </w:tcPr>
    </w:tblStylePr>
    <w:tblStylePr w:type="band1Vert">
      <w:tblPr/>
      <w:tcPr>
        <w:tcBorders>
          <w:left w:space="0" w:sz="0" w:val="nil"/>
          <w:right w:space="0" w:sz="0" w:val="nil"/>
          <w:insideH w:space="0" w:sz="0" w:val="nil"/>
          <w:insideV w:space="0" w:sz="0" w:val="nil"/>
        </w:tcBorders>
        <w:shd w:color="auto" w:fill="d8d8d8" w:themeFillShade="0000D8" w:val="clear"/>
      </w:tcPr>
    </w:tblStylePr>
    <w:tblStylePr w:type="band1Horz">
      <w:tblPr/>
      <w:tcPr>
        <w:shd w:color="auto" w:fill="d8d8d8"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val="clear"/>
      </w:tcPr>
    </w:tblStylePr>
    <w:tblStylePr w:type="firstCol">
      <w:rPr>
        <w:b w:val="1"/>
        <w:bCs w:val="1"/>
        <w:color w:val="ffffff"/>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Shade="0000D8" w:val="clear"/>
      </w:tcPr>
    </w:tblStylePr>
    <w:tblStylePr w:type="band1Horz">
      <w:tblPr/>
      <w:tcPr>
        <w:shd w:color="auto" w:fill="d8d8d8"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val="clear"/>
      </w:tcPr>
    </w:tblStylePr>
    <w:tblStylePr w:type="firstCol">
      <w:rPr>
        <w:b w:val="1"/>
        <w:bCs w:val="1"/>
        <w:color w:val="ffffff"/>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Shade="0000D8" w:val="clear"/>
      </w:tcPr>
    </w:tblStylePr>
    <w:tblStylePr w:type="band1Horz">
      <w:tblPr/>
      <w:tcPr>
        <w:shd w:color="auto" w:fill="d8d8d8"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val="clear"/>
      </w:tcPr>
    </w:tblStylePr>
    <w:tblStylePr w:type="firstCol">
      <w:rPr>
        <w:b w:val="1"/>
        <w:bCs w:val="1"/>
        <w:color w:val="ffffff"/>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Shade="0000D8" w:val="clear"/>
      </w:tcPr>
    </w:tblStylePr>
    <w:tblStylePr w:type="band1Horz">
      <w:tblPr/>
      <w:tcPr>
        <w:shd w:color="auto" w:fill="d8d8d8"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val="clear"/>
      </w:tcPr>
    </w:tblStylePr>
    <w:tblStylePr w:type="firstCol">
      <w:rPr>
        <w:b w:val="1"/>
        <w:bCs w:val="1"/>
        <w:color w:val="ffffff"/>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Shade="0000D8" w:val="clear"/>
      </w:tcPr>
    </w:tblStylePr>
    <w:tblStylePr w:type="band1Horz">
      <w:tblPr/>
      <w:tcPr>
        <w:shd w:color="auto" w:fill="d8d8d8"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val="clear"/>
      </w:tcPr>
    </w:tblStylePr>
    <w:tblStylePr w:type="firstCol">
      <w:rPr>
        <w:b w:val="1"/>
        <w:bCs w:val="1"/>
        <w:color w:val="ffffff"/>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Shade="0000D8" w:val="clear"/>
      </w:tcPr>
    </w:tblStylePr>
    <w:tblStylePr w:type="band1Horz">
      <w:tblPr/>
      <w:tcPr>
        <w:shd w:color="auto" w:fill="d8d8d8"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val="clear"/>
      </w:tcPr>
    </w:tblStylePr>
    <w:tblStylePr w:type="firstCol">
      <w:rPr>
        <w:b w:val="1"/>
        <w:bCs w:val="1"/>
        <w:color w:val="ffffff"/>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Shade="0000D8" w:val="clear"/>
      </w:tcPr>
    </w:tblStylePr>
    <w:tblStylePr w:type="band1Horz">
      <w:tblPr/>
      <w:tcPr>
        <w:shd w:color="auto" w:fill="d8d8d8"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Ind w:w="0.0" w:type="dxa"/>
      <w:tblBorders>
        <w:top w:color="000000" w:space="0" w:sz="8" w:val="single"/>
        <w:bottom w:color="000000" w:space="0" w:sz="8"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val="single"/>
        </w:tcBorders>
      </w:tcPr>
    </w:tblStylePr>
    <w:tblStylePr w:type="lastRow">
      <w:rPr>
        <w:b w:val="1"/>
        <w:bCs w:val="1"/>
        <w:color w:val="1f497d"/>
      </w:rPr>
      <w:tblPr/>
      <w:tcPr>
        <w:tcBorders>
          <w:top w:color="000000" w:space="0" w:sz="8" w:val="single"/>
          <w:bottom w:color="000000" w:space="0" w:sz="8" w:val="single"/>
        </w:tcBorders>
      </w:tcPr>
    </w:tblStylePr>
    <w:tblStylePr w:type="firstCol">
      <w:rPr>
        <w:b w:val="1"/>
        <w:bCs w:val="1"/>
      </w:rPr>
    </w:tblStylePr>
    <w:tblStylePr w:type="lastCol">
      <w:rPr>
        <w:b w:val="1"/>
        <w:bCs w:val="1"/>
      </w:rPr>
      <w:tblPr/>
      <w:tcPr>
        <w:tcBorders>
          <w:top w:color="000000" w:space="0" w:sz="8" w:val="single"/>
          <w:bottom w:color="000000" w:space="0" w:sz="8" w:val="single"/>
        </w:tcBorders>
      </w:tcPr>
    </w:tblStylePr>
    <w:tblStylePr w:type="band1Vert">
      <w:tblPr/>
      <w:tcPr>
        <w:shd w:color="auto" w:fill="bfbfbf" w:themeFillTint="00003F" w:val="clear"/>
      </w:tcPr>
    </w:tblStylePr>
    <w:tblStylePr w:type="band1Horz">
      <w:tblPr/>
      <w:tcPr>
        <w:shd w:color="auto" w:fill="bfbfbf" w:themeFillTint="00003F" w:val="clear"/>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3" w:themeFill="accent2" w:themeFillTint="00003F" w:val="clear"/>
      </w:tcPr>
    </w:tblStylePr>
    <w:tblStylePr w:type="band1Horz">
      <w:tblPr/>
      <w:tcPr>
        <w:shd w:color="auto" w:fill="efd3d3" w:themeFill="accent2" w:themeFillTint="00003F" w:val="clear"/>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0" w:themeFill="accent5" w:themeFillTint="00003F" w:val="clear"/>
      </w:tcPr>
    </w:tblStylePr>
    <w:tblStylePr w:type="band1Horz">
      <w:tblPr/>
      <w:tcPr>
        <w:shd w:color="auto" w:fill="d2eaf0" w:themeFill="accent5" w:themeFillTint="00003F" w:val="clear"/>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5d1" w:themeFill="accent6" w:themeFillTint="00003F" w:val="clear"/>
      </w:tcPr>
    </w:tblStylePr>
    <w:tblStylePr w:type="band1Horz">
      <w:tblPr/>
      <w:tcPr>
        <w:shd w:color="auto" w:fill="fde5d1" w:themeFill="accent6" w:themeFillTint="00003F" w:val="clear"/>
      </w:tcPr>
    </w:tblStylePr>
  </w:style>
  <w:style w:type="table" w:styleId="MediumList2">
    <w:name w:val="Medium List 2"/>
    <w:basedOn w:val="TableNormal"/>
    <w:uiPriority w:val="66"/>
    <w:pPr>
      <w:spacing w:after="0" w:line="240" w:lineRule="auto"/>
    </w:pPr>
    <w:rPr>
      <w:rFonts w:asciiTheme="majorHAnsi" w:cstheme="majorBidi" w:eastAsiaTheme="majorEastAsia" w:hAnsiTheme="majorHAnsi"/>
      <w:color w:val="000000"/>
    </w:rPr>
    <w:tblPr>
      <w:tblStyleRowBandSize w:val="1"/>
      <w:tblStyleColBandSize w:val="1"/>
      <w:tblInd w:w="0.0" w:type="dxa"/>
      <w:tblBorders>
        <w:top w:color="000000" w:space="0" w:sz="8" w:val="single"/>
        <w:left w:color="000000" w:space="0" w:sz="8" w:val="single"/>
        <w:bottom w:color="000000" w:space="0" w:sz="8" w:val="single"/>
        <w:right w:color="000000" w:space="0" w:sz="8"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val="single"/>
          <w:right w:space="0" w:sz="0" w:val="nil"/>
          <w:insideH w:space="0" w:sz="0" w:val="nil"/>
          <w:insideV w:space="0" w:sz="0" w:val="nil"/>
        </w:tcBorders>
        <w:shd w:color="auto" w:fill="ffffff" w:val="clear"/>
      </w:tcPr>
    </w:tblStylePr>
    <w:tblStylePr w:type="lastRow">
      <w:tblPr/>
      <w:tcPr>
        <w:tcBorders>
          <w:top w:color="000000" w:space="0" w:sz="8" w:val="single"/>
          <w:left w:space="0" w:sz="0" w:val="nil"/>
          <w:bottom w:space="0" w:sz="0" w:val="nil"/>
          <w:right w:space="0" w:sz="0" w:val="nil"/>
          <w:insideH w:space="0" w:sz="0" w:val="nil"/>
          <w:insideV w:space="0" w:sz="0" w:val="nil"/>
        </w:tcBorders>
        <w:shd w:color="auto" w:fill="ffffff" w:val="clear"/>
      </w:tcPr>
    </w:tblStylePr>
    <w:tblStylePr w:type="firstCol">
      <w:tblPr/>
      <w:tcPr>
        <w:tcBorders>
          <w:top w:space="0" w:sz="0" w:val="nil"/>
          <w:left w:space="0" w:sz="0" w:val="nil"/>
          <w:bottom w:space="0" w:sz="0" w:val="nil"/>
          <w:right w:color="000000" w:space="0" w:sz="8" w:val="single"/>
          <w:insideH w:space="0" w:sz="0" w:val="nil"/>
          <w:insideV w:space="0" w:sz="0" w:val="nil"/>
        </w:tcBorders>
        <w:shd w:color="auto" w:fill="ffffff" w:val="clear"/>
      </w:tcPr>
    </w:tblStylePr>
    <w:tblStylePr w:type="lastCol">
      <w:tblPr/>
      <w:tcPr>
        <w:tcBorders>
          <w:top w:space="0" w:sz="0" w:val="nil"/>
          <w:left w:color="000000" w:space="0" w:sz="8" w:val="single"/>
          <w:bottom w:space="0" w:sz="0" w:val="nil"/>
          <w:right w:space="0" w:sz="0" w:val="nil"/>
          <w:insideH w:space="0" w:sz="0" w:val="nil"/>
          <w:insideV w:space="0" w:sz="0" w:val="nil"/>
        </w:tcBorders>
        <w:shd w:color="auto" w:fill="ffffff" w:val="clear"/>
      </w:tcPr>
    </w:tblStylePr>
    <w:tblStylePr w:type="band1Vert">
      <w:tblPr/>
      <w:tcPr>
        <w:tcBorders>
          <w:left w:space="0" w:sz="0" w:val="nil"/>
          <w:right w:space="0" w:sz="0" w:val="nil"/>
          <w:insideH w:space="0" w:sz="0" w:val="nil"/>
          <w:insideV w:space="0" w:sz="0" w:val="nil"/>
        </w:tcBorders>
        <w:shd w:color="auto" w:fill="bfbfbf" w:themeFillTint="00003F" w:val="clear"/>
      </w:tcPr>
    </w:tblStylePr>
    <w:tblStylePr w:type="band1Horz">
      <w:tblPr/>
      <w:tcPr>
        <w:tcBorders>
          <w:top w:space="0" w:sz="0" w:val="nil"/>
          <w:bottom w:space="0" w:sz="0" w:val="nil"/>
          <w:insideH w:space="0" w:sz="0" w:val="nil"/>
          <w:insideV w:space="0" w:sz="0" w:val="nil"/>
        </w:tcBorders>
        <w:shd w:color="auto" w:fill="bfbfbf" w:themeFillTint="00003F" w:val="clear"/>
      </w:tcPr>
    </w:tblStylePr>
    <w:tblStylePr w:type="nwCell">
      <w:tblPr/>
      <w:tcPr>
        <w:shd w:color="auto" w:fill="ffffff" w:val="clear"/>
      </w:tcPr>
    </w:tblStylePr>
    <w:tblStylePr w:type="swCell">
      <w:tblPr/>
      <w:tcPr>
        <w:tcBorders>
          <w:top w:space="0" w:sz="0" w:val="nil"/>
        </w:tcBorders>
      </w:tcPr>
    </w:tblStylePr>
  </w:style>
  <w:style w:type="table" w:styleId="MediumList2-Accent1">
    <w:name w:val="Medium List 2 Accent 1"/>
    <w:basedOn w:val="TableNormal"/>
    <w:uiPriority w:val="66"/>
    <w:pPr>
      <w:spacing w:after="0" w:line="240" w:lineRule="auto"/>
    </w:pPr>
    <w:rPr>
      <w:rFonts w:asciiTheme="majorHAnsi" w:cstheme="majorBidi" w:eastAsiaTheme="majorEastAsia" w:hAnsiTheme="majorHAnsi"/>
      <w:color w:val="000000"/>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val="clear"/>
      </w:tcPr>
    </w:tblStylePr>
    <w:tblStylePr w:type="swCell">
      <w:tblPr/>
      <w:tcPr>
        <w:tcBorders>
          <w:top w:space="0" w:sz="0" w:val="nil"/>
        </w:tcBorders>
      </w:tcPr>
    </w:tblStylePr>
  </w:style>
  <w:style w:type="table" w:styleId="MediumList2-Accent2">
    <w:name w:val="Medium List 2 Accent 2"/>
    <w:basedOn w:val="TableNormal"/>
    <w:uiPriority w:val="66"/>
    <w:pPr>
      <w:spacing w:after="0" w:line="240" w:lineRule="auto"/>
    </w:pPr>
    <w:rPr>
      <w:rFonts w:asciiTheme="majorHAnsi" w:cstheme="majorBidi" w:eastAsiaTheme="majorEastAsia" w:hAnsiTheme="majorHAnsi"/>
      <w:color w:val="000000"/>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val="clear"/>
      </w:tcPr>
    </w:tblStylePr>
    <w:tblStylePr w:type="band1Vert">
      <w:tblPr/>
      <w:tcPr>
        <w:tcBorders>
          <w:left w:space="0" w:sz="0" w:val="nil"/>
          <w:right w:space="0" w:sz="0" w:val="nil"/>
          <w:insideH w:space="0" w:sz="0" w:val="nil"/>
          <w:insideV w:space="0" w:sz="0" w:val="nil"/>
        </w:tcBorders>
        <w:shd w:color="auto" w:fill="efd3d3" w:themeFill="accent2" w:themeFillTint="00003F" w:val="clear"/>
      </w:tcPr>
    </w:tblStylePr>
    <w:tblStylePr w:type="band1Horz">
      <w:tblPr/>
      <w:tcPr>
        <w:tcBorders>
          <w:top w:space="0" w:sz="0" w:val="nil"/>
          <w:bottom w:space="0" w:sz="0" w:val="nil"/>
          <w:insideH w:space="0" w:sz="0" w:val="nil"/>
          <w:insideV w:space="0" w:sz="0" w:val="nil"/>
        </w:tcBorders>
        <w:shd w:color="auto" w:fill="efd3d3" w:themeFill="accent2" w:themeFillTint="00003F" w:val="clear"/>
      </w:tcPr>
    </w:tblStylePr>
    <w:tblStylePr w:type="nwCell">
      <w:tblPr/>
      <w:tcPr>
        <w:shd w:color="auto" w:fill="ffffff" w:val="clear"/>
      </w:tcPr>
    </w:tblStylePr>
    <w:tblStylePr w:type="swCell">
      <w:tblPr/>
      <w:tcPr>
        <w:tcBorders>
          <w:top w:space="0" w:sz="0" w:val="nil"/>
        </w:tcBorders>
      </w:tcPr>
    </w:tblStylePr>
  </w:style>
  <w:style w:type="table" w:styleId="MediumList2-Accent3">
    <w:name w:val="Medium List 2 Accent 3"/>
    <w:basedOn w:val="TableNormal"/>
    <w:uiPriority w:val="66"/>
    <w:pPr>
      <w:spacing w:after="0" w:line="240" w:lineRule="auto"/>
    </w:pPr>
    <w:rPr>
      <w:rFonts w:asciiTheme="majorHAnsi" w:cstheme="majorBidi" w:eastAsiaTheme="majorEastAsia" w:hAnsiTheme="majorHAnsi"/>
      <w:color w:val="000000"/>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val="clear"/>
      </w:tcPr>
    </w:tblStylePr>
    <w:tblStylePr w:type="swCell">
      <w:tblPr/>
      <w:tcPr>
        <w:tcBorders>
          <w:top w:space="0" w:sz="0" w:val="nil"/>
        </w:tcBorders>
      </w:tcPr>
    </w:tblStylePr>
  </w:style>
  <w:style w:type="table" w:styleId="MediumList2-Accent4">
    <w:name w:val="Medium List 2 Accent 4"/>
    <w:basedOn w:val="TableNormal"/>
    <w:uiPriority w:val="66"/>
    <w:pPr>
      <w:spacing w:after="0" w:line="240" w:lineRule="auto"/>
    </w:pPr>
    <w:rPr>
      <w:rFonts w:asciiTheme="majorHAnsi" w:cstheme="majorBidi" w:eastAsiaTheme="majorEastAsia" w:hAnsiTheme="majorHAnsi"/>
      <w:color w:val="000000"/>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val="clear"/>
      </w:tcPr>
    </w:tblStylePr>
    <w:tblStylePr w:type="swCell">
      <w:tblPr/>
      <w:tcPr>
        <w:tcBorders>
          <w:top w:space="0" w:sz="0" w:val="nil"/>
        </w:tcBorders>
      </w:tcPr>
    </w:tblStylePr>
  </w:style>
  <w:style w:type="table" w:styleId="MediumList2-Accent5">
    <w:name w:val="Medium List 2 Accent 5"/>
    <w:basedOn w:val="TableNormal"/>
    <w:uiPriority w:val="66"/>
    <w:pPr>
      <w:spacing w:after="0" w:line="240" w:lineRule="auto"/>
    </w:pPr>
    <w:rPr>
      <w:rFonts w:asciiTheme="majorHAnsi" w:cstheme="majorBidi" w:eastAsiaTheme="majorEastAsia" w:hAnsiTheme="majorHAnsi"/>
      <w:color w:val="000000"/>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val="clear"/>
      </w:tcPr>
    </w:tblStylePr>
    <w:tblStylePr w:type="band1Vert">
      <w:tblPr/>
      <w:tcPr>
        <w:tcBorders>
          <w:left w:space="0" w:sz="0" w:val="nil"/>
          <w:right w:space="0" w:sz="0" w:val="nil"/>
          <w:insideH w:space="0" w:sz="0" w:val="nil"/>
          <w:insideV w:space="0" w:sz="0" w:val="nil"/>
        </w:tcBorders>
        <w:shd w:color="auto" w:fill="d2eaf0" w:themeFill="accent5" w:themeFillTint="00003F" w:val="clear"/>
      </w:tcPr>
    </w:tblStylePr>
    <w:tblStylePr w:type="band1Horz">
      <w:tblPr/>
      <w:tcPr>
        <w:tcBorders>
          <w:top w:space="0" w:sz="0" w:val="nil"/>
          <w:bottom w:space="0" w:sz="0" w:val="nil"/>
          <w:insideH w:space="0" w:sz="0" w:val="nil"/>
          <w:insideV w:space="0" w:sz="0" w:val="nil"/>
        </w:tcBorders>
        <w:shd w:color="auto" w:fill="d2eaf0" w:themeFill="accent5" w:themeFillTint="00003F" w:val="clear"/>
      </w:tcPr>
    </w:tblStylePr>
    <w:tblStylePr w:type="nwCell">
      <w:tblPr/>
      <w:tcPr>
        <w:shd w:color="auto" w:fill="ffffff" w:val="clear"/>
      </w:tcPr>
    </w:tblStylePr>
    <w:tblStylePr w:type="swCell">
      <w:tblPr/>
      <w:tcPr>
        <w:tcBorders>
          <w:top w:space="0" w:sz="0" w:val="nil"/>
        </w:tcBorders>
      </w:tcPr>
    </w:tblStylePr>
  </w:style>
  <w:style w:type="table" w:styleId="MediumList2-Accent6">
    <w:name w:val="Medium List 2 Accent 6"/>
    <w:basedOn w:val="TableNormal"/>
    <w:uiPriority w:val="66"/>
    <w:pPr>
      <w:spacing w:after="0" w:line="240" w:lineRule="auto"/>
    </w:pPr>
    <w:rPr>
      <w:rFonts w:asciiTheme="majorHAnsi" w:cstheme="majorBidi" w:eastAsiaTheme="majorEastAsia" w:hAnsiTheme="majorHAnsi"/>
      <w:color w:val="000000"/>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val="clear"/>
      </w:tcPr>
    </w:tblStylePr>
    <w:tblStylePr w:type="band1Vert">
      <w:tblPr/>
      <w:tcPr>
        <w:tcBorders>
          <w:left w:space="0" w:sz="0" w:val="nil"/>
          <w:right w:space="0" w:sz="0" w:val="nil"/>
          <w:insideH w:space="0" w:sz="0" w:val="nil"/>
          <w:insideV w:space="0" w:sz="0" w:val="nil"/>
        </w:tcBorders>
        <w:shd w:color="auto" w:fill="fde5d1" w:themeFill="accent6" w:themeFillTint="00003F" w:val="clear"/>
      </w:tcPr>
    </w:tblStylePr>
    <w:tblStylePr w:type="band1Horz">
      <w:tblPr/>
      <w:tcPr>
        <w:tcBorders>
          <w:top w:space="0" w:sz="0" w:val="nil"/>
          <w:bottom w:space="0" w:sz="0" w:val="nil"/>
          <w:insideH w:space="0" w:sz="0" w:val="nil"/>
          <w:insideV w:space="0" w:sz="0" w:val="nil"/>
        </w:tcBorders>
        <w:shd w:color="auto" w:fill="fde5d1" w:themeFill="accent6" w:themeFillTint="00003F" w:val="clear"/>
      </w:tcPr>
    </w:tblStylePr>
    <w:tblStylePr w:type="nwCell">
      <w:tblPr/>
      <w:tcPr>
        <w:shd w:color="auto" w:fill="ffffff" w:val="clear"/>
      </w:tcPr>
    </w:tblStylePr>
    <w:tblStylePr w:type="swCell">
      <w:tblPr/>
      <w:tcPr>
        <w:tcBorders>
          <w:top w:space="0" w:sz="0" w:val="nil"/>
        </w:tcBorders>
      </w:tcPr>
    </w:tblStylePr>
  </w:style>
  <w:style w:type="table" w:styleId="MediumGrid1">
    <w:name w:val="Medium Grid 1"/>
    <w:basedOn w:val="TableNormal"/>
    <w:uiPriority w:val="67"/>
    <w:pPr>
      <w:spacing w:after="0" w:line="240" w:lineRule="auto"/>
    </w:pPr>
    <w:tblPr>
      <w:tblStyleRowBandSize w:val="1"/>
      <w:tblStyleColBandSize w:val="1"/>
      <w:tblInd w:w="0.0" w:type="dxa"/>
      <w:tblBorders>
        <w:top w:color="3f3f3f" w:space="0" w:sz="8" w:themeTint="0000BF" w:val="single"/>
        <w:left w:color="3f3f3f" w:space="0" w:sz="8" w:themeTint="0000BF" w:val="single"/>
        <w:bottom w:color="3f3f3f" w:space="0" w:sz="8" w:themeTint="0000BF" w:val="single"/>
        <w:right w:color="3f3f3f" w:space="0" w:sz="8" w:themeTint="0000BF" w:val="single"/>
        <w:insideH w:color="3f3f3f" w:space="0" w:sz="8" w:themeTint="0000BF" w:val="single"/>
        <w:insideV w:color="3f3f3f" w:space="0" w:sz="8" w:themeTint="0000BF" w:val="single"/>
      </w:tblBorders>
      <w:tblCellMar>
        <w:top w:w="0.0" w:type="dxa"/>
        <w:left w:w="108.0" w:type="dxa"/>
        <w:bottom w:w="0.0" w:type="dxa"/>
        <w:right w:w="108.0" w:type="dxa"/>
      </w:tblCellMar>
    </w:tblPr>
    <w:tcPr>
      <w:shd w:color="auto" w:fill="bfbfbf" w:themeFillTint="00003F" w:val="clear"/>
    </w:tcPr>
    <w:tblStylePr w:type="firstRow">
      <w:rPr>
        <w:b w:val="1"/>
        <w:bCs w:val="1"/>
      </w:rPr>
    </w:tblStylePr>
    <w:tblStylePr w:type="lastRow">
      <w:rPr>
        <w:b w:val="1"/>
        <w:bCs w:val="1"/>
      </w:rPr>
      <w:tblPr/>
      <w:tcPr>
        <w:tcBorders>
          <w:top w:color="3f3f3f" w:space="0" w:sz="18" w:themeTint="0000BF" w:val="single"/>
        </w:tcBorders>
      </w:tcPr>
    </w:tblStylePr>
    <w:tblStylePr w:type="firstCol">
      <w:rPr>
        <w:b w:val="1"/>
        <w:bCs w:val="1"/>
      </w:rPr>
    </w:tblStylePr>
    <w:tblStylePr w:type="lastCol">
      <w:rPr>
        <w:b w:val="1"/>
        <w:bCs w:val="1"/>
      </w:rPr>
    </w:tblStylePr>
    <w:tblStylePr w:type="band1Vert">
      <w:tblPr/>
      <w:tcPr>
        <w:shd w:color="auto" w:fill="7f7f7f" w:themeFillTint="00007F" w:val="clear"/>
      </w:tcPr>
    </w:tblStylePr>
    <w:tblStylePr w:type="band1Horz">
      <w:tblPr/>
      <w:tcPr>
        <w:shd w:color="auto" w:fill="7f7f7f" w:themeFillTint="00007F" w:val="clear"/>
      </w:tcPr>
    </w:tblStylePr>
  </w:style>
  <w:style w:type="table" w:styleId="MediumGrid1-Accent1">
    <w:name w:val="Medium Grid 1 Accent 1"/>
    <w:basedOn w:val="TableNormal"/>
    <w:uiPriority w:val="67"/>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c0de" w:themeFill="accent1" w:themeFillTint="00007F" w:val="clear"/>
      </w:tcPr>
    </w:tblStylePr>
    <w:tblStylePr w:type="band1Horz">
      <w:tblPr/>
      <w:tcPr>
        <w:shd w:color="auto" w:fill="a7c0de" w:themeFill="accent1" w:themeFillTint="00007F" w:val="clear"/>
      </w:tcPr>
    </w:tblStylePr>
  </w:style>
  <w:style w:type="table" w:styleId="MediumGrid1-Accent2">
    <w:name w:val="Medium Grid 1 Accent 2"/>
    <w:basedOn w:val="TableNormal"/>
    <w:uiPriority w:val="67"/>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3"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pPr>
      <w:spacing w:after="0" w:line="240" w:lineRule="auto"/>
    </w:pPr>
    <w:tblPr>
      <w:tblStyleRowBandSize w:val="1"/>
      <w:tblStyleColBandSize w:val="1"/>
      <w:tblInd w:w="0.0" w:type="dxa"/>
      <w:tblBorders>
        <w:top w:color="b4cc82" w:space="0" w:sz="8" w:themeColor="accent3" w:themeTint="0000BF" w:val="single"/>
        <w:left w:color="b4cc82" w:space="0" w:sz="8" w:themeColor="accent3" w:themeTint="0000BF" w:val="single"/>
        <w:bottom w:color="b4cc82" w:space="0" w:sz="8" w:themeColor="accent3" w:themeTint="0000BF" w:val="single"/>
        <w:right w:color="b4cc82" w:space="0" w:sz="8" w:themeColor="accent3" w:themeTint="0000BF" w:val="single"/>
        <w:insideH w:color="b4cc82" w:space="0" w:sz="8" w:themeColor="accent3" w:themeTint="0000BF" w:val="single"/>
        <w:insideV w:color="b4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4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0"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5d1"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pPr>
      <w:spacing w:after="0" w:line="240" w:lineRule="auto"/>
    </w:pPr>
    <w:rPr>
      <w:rFonts w:asciiTheme="majorHAnsi" w:cstheme="majorBidi" w:eastAsiaTheme="majorEastAsia" w:hAnsiTheme="majorHAnsi"/>
      <w:color w:val="000000"/>
    </w:rPr>
    <w:tblPr>
      <w:tblStyleRowBandSize w:val="1"/>
      <w:tblStyleColBandSize w:val="1"/>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top w:w="0.0" w:type="dxa"/>
        <w:left w:w="108.0" w:type="dxa"/>
        <w:bottom w:w="0.0" w:type="dxa"/>
        <w:right w:w="108.0" w:type="dxa"/>
      </w:tblCellMar>
    </w:tblPr>
    <w:tcPr>
      <w:shd w:color="auto" w:fill="bfbfbf" w:themeFillTint="00003F" w:val="clear"/>
    </w:tcPr>
    <w:tblStylePr w:type="firstRow">
      <w:rPr>
        <w:b w:val="1"/>
        <w:bCs w:val="1"/>
        <w:color w:val="000000"/>
      </w:rPr>
      <w:tblPr/>
      <w:tcPr>
        <w:shd w:color="auto" w:fill="e5e5e5" w:themeFillTint="000019"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cbcbcb" w:themeFillTint="000033" w:val="clear"/>
      </w:tcPr>
    </w:tblStylePr>
    <w:tblStylePr w:type="band1Vert">
      <w:tblPr/>
      <w:tcPr>
        <w:shd w:color="auto" w:fill="7f7f7f" w:themeFillTint="00007F" w:val="clear"/>
      </w:tcPr>
    </w:tblStylePr>
    <w:tblStylePr w:type="band1Horz">
      <w:tblPr/>
      <w:tcPr>
        <w:tcBorders>
          <w:insideH w:color="000000" w:space="0" w:sz="6" w:val="single"/>
          <w:insideV w:color="000000" w:space="0" w:sz="6" w:val="single"/>
        </w:tcBorders>
        <w:shd w:color="auto" w:fill="7f7f7f" w:themeFillTint="00007F" w:val="clear"/>
      </w:tcPr>
    </w:tblStylePr>
    <w:tblStylePr w:type="nwCell">
      <w:tblPr/>
      <w:tcPr>
        <w:shd w:color="auto" w:fill="ffffff" w:val="clear"/>
      </w:tcPr>
    </w:tblStylePr>
  </w:style>
  <w:style w:type="table" w:styleId="MediumGrid2-Accent1">
    <w:name w:val="Medium Grid 2 Accent 1"/>
    <w:basedOn w:val="TableNormal"/>
    <w:uiPriority w:val="68"/>
    <w:pPr>
      <w:spacing w:after="0" w:line="240" w:lineRule="auto"/>
    </w:pPr>
    <w:rPr>
      <w:rFonts w:asciiTheme="majorHAnsi" w:cstheme="majorBidi" w:eastAsiaTheme="majorEastAsia" w:hAnsiTheme="majorHAnsi"/>
      <w:color w:val="000000"/>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rPr>
      <w:tblPr/>
      <w:tcPr>
        <w:shd w:color="auto" w:fill="edf2f8" w:themeFill="accent1" w:themeFillTint="000019"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c0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c0de" w:themeFill="accent1" w:themeFillTint="00007F" w:val="clear"/>
      </w:tcPr>
    </w:tblStylePr>
    <w:tblStylePr w:type="nwCell">
      <w:tblPr/>
      <w:tcPr>
        <w:shd w:color="auto" w:fill="ffffff" w:val="clear"/>
      </w:tcPr>
    </w:tblStylePr>
  </w:style>
  <w:style w:type="table" w:styleId="MediumGrid2-Accent2">
    <w:name w:val="Medium Grid 2 Accent 2"/>
    <w:basedOn w:val="TableNormal"/>
    <w:uiPriority w:val="68"/>
    <w:pPr>
      <w:spacing w:after="0" w:line="240" w:lineRule="auto"/>
    </w:pPr>
    <w:rPr>
      <w:rFonts w:asciiTheme="majorHAnsi" w:cstheme="majorBidi" w:eastAsiaTheme="majorEastAsia" w:hAnsiTheme="majorHAnsi"/>
      <w:color w:val="000000"/>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3" w:themeFill="accent2" w:themeFillTint="00003F" w:val="clear"/>
    </w:tcPr>
    <w:tblStylePr w:type="firstRow">
      <w:rPr>
        <w:b w:val="1"/>
        <w:bCs w:val="1"/>
        <w:color w:val="000000"/>
      </w:rPr>
      <w:tblPr/>
      <w:tcPr>
        <w:shd w:color="auto" w:fill="f8eded" w:themeFill="accent2" w:themeFillTint="000019"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val="clear"/>
      </w:tcPr>
    </w:tblStylePr>
  </w:style>
  <w:style w:type="table" w:styleId="MediumGrid2-Accent3">
    <w:name w:val="Medium Grid 2 Accent 3"/>
    <w:basedOn w:val="TableNormal"/>
    <w:uiPriority w:val="68"/>
    <w:pPr>
      <w:spacing w:after="0" w:line="240" w:lineRule="auto"/>
    </w:pPr>
    <w:rPr>
      <w:rFonts w:asciiTheme="majorHAnsi" w:cstheme="majorBidi" w:eastAsiaTheme="majorEastAsia" w:hAnsiTheme="majorHAnsi"/>
      <w:color w:val="000000"/>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rPr>
      <w:tblPr/>
      <w:tcPr>
        <w:shd w:color="auto" w:fill="f5f8ee" w:themeFill="accent3" w:themeFillTint="000019"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eb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val="clear"/>
      </w:tcPr>
    </w:tblStylePr>
  </w:style>
  <w:style w:type="table" w:styleId="MediumGrid2-Accent4">
    <w:name w:val="Medium Grid 2 Accent 4"/>
    <w:basedOn w:val="TableNormal"/>
    <w:uiPriority w:val="68"/>
    <w:pPr>
      <w:spacing w:after="0" w:line="240" w:lineRule="auto"/>
    </w:pPr>
    <w:rPr>
      <w:rFonts w:asciiTheme="majorHAnsi" w:cstheme="majorBidi" w:eastAsiaTheme="majorEastAsia" w:hAnsiTheme="majorHAnsi"/>
      <w:color w:val="000000"/>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rPr>
      <w:tblPr/>
      <w:tcPr>
        <w:shd w:color="auto" w:fill="f2eff5" w:themeFill="accent4" w:themeFillTint="000019"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e5e0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val="clear"/>
      </w:tcPr>
    </w:tblStylePr>
  </w:style>
  <w:style w:type="table" w:styleId="MediumGrid2-Accent5">
    <w:name w:val="Medium Grid 2 Accent 5"/>
    <w:basedOn w:val="TableNormal"/>
    <w:uiPriority w:val="68"/>
    <w:pPr>
      <w:spacing w:after="0" w:line="240" w:lineRule="auto"/>
    </w:pPr>
    <w:rPr>
      <w:rFonts w:asciiTheme="majorHAnsi" w:cstheme="majorBidi" w:eastAsiaTheme="majorEastAsia" w:hAnsiTheme="majorHAnsi"/>
      <w:color w:val="000000"/>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0" w:themeFill="accent5" w:themeFillTint="00003F" w:val="clear"/>
    </w:tcPr>
    <w:tblStylePr w:type="firstRow">
      <w:rPr>
        <w:b w:val="1"/>
        <w:bCs w:val="1"/>
        <w:color w:val="000000"/>
      </w:rPr>
      <w:tblPr/>
      <w:tcPr>
        <w:shd w:color="auto" w:fill="edf6f9" w:themeFill="accent5" w:themeFillTint="000019"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val="clear"/>
      </w:tcPr>
    </w:tblStylePr>
  </w:style>
  <w:style w:type="table" w:styleId="MediumGrid2-Accent6">
    <w:name w:val="Medium Grid 2 Accent 6"/>
    <w:basedOn w:val="TableNormal"/>
    <w:uiPriority w:val="68"/>
    <w:pPr>
      <w:spacing w:after="0" w:line="240" w:lineRule="auto"/>
    </w:pPr>
    <w:rPr>
      <w:rFonts w:asciiTheme="majorHAnsi" w:cstheme="majorBidi" w:eastAsiaTheme="majorEastAsia" w:hAnsiTheme="majorHAnsi"/>
      <w:color w:val="000000"/>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5d1" w:themeFill="accent6" w:themeFillTint="00003F" w:val="clear"/>
    </w:tcPr>
    <w:tblStylePr w:type="firstRow">
      <w:rPr>
        <w:b w:val="1"/>
        <w:bCs w:val="1"/>
        <w:color w:val="000000"/>
      </w:rPr>
      <w:tblPr/>
      <w:tcPr>
        <w:shd w:color="auto" w:fill="fef4ec" w:themeFill="accent6" w:themeFillTint="000019"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fdea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val="clear"/>
      </w:tcPr>
    </w:tblStylePr>
  </w:style>
  <w:style w:type="table" w:styleId="MediumGrid3">
    <w:name w:val="Medium Grid 3"/>
    <w:basedOn w:val="TableNormal"/>
    <w:uiPriority w:val="69"/>
    <w:pPr>
      <w:spacing w:after="0" w:line="240" w:lineRule="auto"/>
    </w:pPr>
    <w:tblPr>
      <w:tblStyleRowBandSize w:val="1"/>
      <w:tblStyleColBandSize w:val="1"/>
      <w:tblInd w:w="0.0" w:type="dxa"/>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w="0.0" w:type="dxa"/>
        <w:left w:w="108.0" w:type="dxa"/>
        <w:bottom w:w="0.0" w:type="dxa"/>
        <w:right w:w="108.0" w:type="dxa"/>
      </w:tblCellMar>
    </w:tblPr>
    <w:tcPr>
      <w:shd w:color="auto" w:fill="bfbfbf" w:themeFillTint="00003F"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000000"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000000"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000000"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000000"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7f7f7f" w:themeFillTint="00007F"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f7f7f" w:themeFillTint="00007F" w:val="clear"/>
      </w:tcPr>
    </w:tblStylePr>
  </w:style>
  <w:style w:type="table" w:styleId="MediumGrid3-Accent1">
    <w:name w:val="Medium Grid 3 Accent 1"/>
    <w:basedOn w:val="TableNormal"/>
    <w:uiPriority w:val="69"/>
    <w:pPr>
      <w:spacing w:after="0" w:line="240" w:lineRule="auto"/>
    </w:pPr>
    <w:tblPr>
      <w:tblStyleRowBandSize w:val="1"/>
      <w:tblStyleColBandSize w:val="1"/>
      <w:tblInd w:w="0.0" w:type="dxa"/>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4f81bd" w:themeFill="accent1"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4f81bd" w:themeFill="accent1"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4f81bd" w:themeFill="accent1"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a7c0de" w:themeFill="accent1" w:themeFillTint="00007F"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a7c0de" w:themeFill="accent1" w:themeFillTint="00007F" w:val="clear"/>
      </w:tcPr>
    </w:tblStylePr>
  </w:style>
  <w:style w:type="table" w:styleId="MediumGrid3-Accent2">
    <w:name w:val="Medium Grid 3 Accent 2"/>
    <w:basedOn w:val="TableNormal"/>
    <w:uiPriority w:val="69"/>
    <w:pPr>
      <w:spacing w:after="0" w:line="240" w:lineRule="auto"/>
    </w:pPr>
    <w:tblPr>
      <w:tblStyleRowBandSize w:val="1"/>
      <w:tblStyleColBandSize w:val="1"/>
      <w:tblInd w:w="0.0" w:type="dxa"/>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w="0.0" w:type="dxa"/>
        <w:left w:w="108.0" w:type="dxa"/>
        <w:bottom w:w="0.0" w:type="dxa"/>
        <w:right w:w="108.0" w:type="dxa"/>
      </w:tblCellMar>
    </w:tblPr>
    <w:tcPr>
      <w:shd w:color="auto" w:fill="efd3d3" w:themeFill="accent2" w:themeFillTint="00003F"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c0504d" w:themeFill="accent2"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c0504d" w:themeFill="accent2"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c0504d" w:themeFill="accent2"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dfa7a6" w:themeFill="accent2" w:themeFillTint="00007F"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dfa7a6" w:themeFill="accent2" w:themeFillTint="00007F" w:val="clear"/>
      </w:tcPr>
    </w:tblStylePr>
  </w:style>
  <w:style w:type="table" w:styleId="MediumGrid3-Accent3">
    <w:name w:val="Medium Grid 3 Accent 3"/>
    <w:basedOn w:val="TableNormal"/>
    <w:uiPriority w:val="69"/>
    <w:pPr>
      <w:spacing w:after="0" w:line="240" w:lineRule="auto"/>
    </w:pPr>
    <w:tblPr>
      <w:tblStyleRowBandSize w:val="1"/>
      <w:tblStyleColBandSize w:val="1"/>
      <w:tblInd w:w="0.0" w:type="dxa"/>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9bbb59" w:themeFill="accent3"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9bbb59" w:themeFill="accent3"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9bbb59" w:themeFill="accent3"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cdddac" w:themeFill="accent3" w:themeFillTint="00007F"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cdddac" w:themeFill="accent3" w:themeFillTint="00007F" w:val="clear"/>
      </w:tcPr>
    </w:tblStylePr>
  </w:style>
  <w:style w:type="table" w:styleId="MediumGrid3-Accent4">
    <w:name w:val="Medium Grid 3 Accent 4"/>
    <w:basedOn w:val="TableNormal"/>
    <w:uiPriority w:val="69"/>
    <w:pPr>
      <w:spacing w:after="0" w:line="240" w:lineRule="auto"/>
    </w:pPr>
    <w:tblPr>
      <w:tblStyleRowBandSize w:val="1"/>
      <w:tblStyleColBandSize w:val="1"/>
      <w:tblInd w:w="0.0" w:type="dxa"/>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8064a2" w:themeFill="accent4"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8064a2" w:themeFill="accent4"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8064a2" w:themeFill="accent4"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bfb1d0" w:themeFill="accent4" w:themeFillTint="00007F"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bfb1d0" w:themeFill="accent4" w:themeFillTint="00007F" w:val="clear"/>
      </w:tcPr>
    </w:tblStylePr>
  </w:style>
  <w:style w:type="table" w:styleId="MediumGrid3-Accent5">
    <w:name w:val="Medium Grid 3 Accent 5"/>
    <w:basedOn w:val="TableNormal"/>
    <w:uiPriority w:val="69"/>
    <w:pPr>
      <w:spacing w:after="0" w:line="240" w:lineRule="auto"/>
    </w:pPr>
    <w:tblPr>
      <w:tblStyleRowBandSize w:val="1"/>
      <w:tblStyleColBandSize w:val="1"/>
      <w:tblInd w:w="0.0" w:type="dxa"/>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w="0.0" w:type="dxa"/>
        <w:left w:w="108.0" w:type="dxa"/>
        <w:bottom w:w="0.0" w:type="dxa"/>
        <w:right w:w="108.0" w:type="dxa"/>
      </w:tblCellMar>
    </w:tblPr>
    <w:tcPr>
      <w:shd w:color="auto" w:fill="d2eaf0" w:themeFill="accent5" w:themeFillTint="00003F"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4bacc6" w:themeFill="accent5"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4bacc6" w:themeFill="accent5"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4bacc6" w:themeFill="accent5"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a5d5e2" w:themeFill="accent5" w:themeFillTint="00007F"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a5d5e2" w:themeFill="accent5" w:themeFillTint="00007F" w:val="clear"/>
      </w:tcPr>
    </w:tblStylePr>
  </w:style>
  <w:style w:type="table" w:styleId="MediumGrid3-Accent6">
    <w:name w:val="Medium Grid 3 Accent 6"/>
    <w:basedOn w:val="TableNormal"/>
    <w:uiPriority w:val="69"/>
    <w:pPr>
      <w:spacing w:after="0" w:line="240" w:lineRule="auto"/>
    </w:pPr>
    <w:tblPr>
      <w:tblStyleRowBandSize w:val="1"/>
      <w:tblStyleColBandSize w:val="1"/>
      <w:tblInd w:w="0.0" w:type="dxa"/>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w="0.0" w:type="dxa"/>
        <w:left w:w="108.0" w:type="dxa"/>
        <w:bottom w:w="0.0" w:type="dxa"/>
        <w:right w:w="108.0" w:type="dxa"/>
      </w:tblCellMar>
    </w:tblPr>
    <w:tcPr>
      <w:shd w:color="auto" w:fill="fde5d1" w:themeFill="accent6" w:themeFillTint="00003F"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f79646" w:themeFill="accent6"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f79646" w:themeFill="accent6"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f79646" w:themeFill="accent6"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fbcaa2" w:themeFill="accent6" w:themeFillTint="00007F"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fbcaa2" w:themeFill="accent6" w:themeFillTint="00007F" w:val="clear"/>
      </w:tcPr>
    </w:tblStylePr>
  </w:style>
  <w:style w:type="table" w:styleId="DarkList">
    <w:name w:val="Dark List"/>
    <w:basedOn w:val="TableNormal"/>
    <w:uiPriority w:val="70"/>
    <w:pPr>
      <w:spacing w:after="0" w:line="240" w:lineRule="auto"/>
    </w:pPr>
    <w:rPr>
      <w:color w:val="ffffff"/>
    </w:rPr>
    <w:tblPr>
      <w:tblStyleRowBandSize w:val="1"/>
      <w:tblStyleColBandSize w:val="1"/>
      <w:tblInd w:w="0.0" w:type="dxa"/>
      <w:tblCellMar>
        <w:top w:w="0.0" w:type="dxa"/>
        <w:left w:w="108.0" w:type="dxa"/>
        <w:bottom w:w="0.0" w:type="dxa"/>
        <w:right w:w="108.0" w:type="dxa"/>
      </w:tblCellMar>
    </w:tblPr>
    <w:tcPr>
      <w:shd w:color="auto" w:fill="000000" w:val="clear"/>
    </w:tcPr>
    <w:tblStylePr w:type="firstRow">
      <w:rPr>
        <w:b w:val="1"/>
        <w:bCs w:val="1"/>
      </w:rPr>
      <w:tblPr/>
      <w:tcPr>
        <w:tcBorders>
          <w:top w:space="0" w:sz="0" w:val="nil"/>
          <w:left w:space="0" w:sz="0" w:val="nil"/>
          <w:bottom w:color="ffffff" w:space="0" w:sz="18" w:val="single"/>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000000" w:themeFillShade="00007F"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000000" w:themeFillShade="0000BF" w:val="clear"/>
      </w:tcPr>
    </w:tblStylePr>
    <w:tblStylePr w:type="lastCol">
      <w:tblPr/>
      <w:tcPr>
        <w:tcBorders>
          <w:top w:space="0" w:sz="0" w:val="nil"/>
          <w:left w:color="ffffff" w:space="0" w:sz="18" w:val="single"/>
          <w:bottom w:space="0" w:sz="0" w:val="nil"/>
          <w:right w:space="0" w:sz="0" w:val="nil"/>
          <w:insideH w:space="0" w:sz="0" w:val="nil"/>
          <w:insideV w:space="0" w:sz="0" w:val="nil"/>
        </w:tcBorders>
        <w:shd w:color="auto" w:fill="000000"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Shade="0000BF" w:val="clear"/>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val="single"/>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244061" w:themeFill="accent1" w:themeFillShade="00007F"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376092" w:themeFill="accent1" w:themeFillShade="0000BF" w:val="clear"/>
      </w:tcPr>
    </w:tblStylePr>
    <w:tblStylePr w:type="lastCol">
      <w:tblPr/>
      <w:tcPr>
        <w:tcBorders>
          <w:top w:space="0" w:sz="0" w:val="nil"/>
          <w:left w:color="ffffff" w:space="0" w:sz="18" w:val="single"/>
          <w:bottom w:space="0" w:sz="0" w:val="nil"/>
          <w:right w:space="0" w:sz="0" w:val="nil"/>
          <w:insideH w:space="0" w:sz="0" w:val="nil"/>
          <w:insideV w:space="0" w:sz="0" w:val="nil"/>
        </w:tcBorders>
        <w:shd w:color="auto" w:fill="376092"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76092"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76092" w:themeFill="accent1" w:themeFillShade="0000BF" w:val="clear"/>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val="single"/>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632523" w:themeFill="accent2" w:themeFillShade="00007F"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953735" w:themeFill="accent2" w:themeFillShade="0000BF" w:val="clear"/>
      </w:tcPr>
    </w:tblStylePr>
    <w:tblStylePr w:type="lastCol">
      <w:tblPr/>
      <w:tcPr>
        <w:tcBorders>
          <w:top w:space="0" w:sz="0" w:val="nil"/>
          <w:left w:color="ffffff" w:space="0" w:sz="18" w:val="single"/>
          <w:bottom w:space="0" w:sz="0" w:val="nil"/>
          <w:right w:space="0" w:sz="0" w:val="nil"/>
          <w:insideH w:space="0" w:sz="0" w:val="nil"/>
          <w:insideV w:space="0" w:sz="0" w:val="nil"/>
        </w:tcBorders>
        <w:shd w:color="auto" w:fill="953735"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53735"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53735" w:themeFill="accent2" w:themeFillShade="0000BF" w:val="clear"/>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val="single"/>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4f6228" w:themeFill="accent3" w:themeFillShade="00007F"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76933c" w:themeFill="accent3" w:themeFillShade="0000BF" w:val="clear"/>
      </w:tcPr>
    </w:tblStylePr>
    <w:tblStylePr w:type="lastCol">
      <w:tblPr/>
      <w:tcPr>
        <w:tcBorders>
          <w:top w:space="0" w:sz="0" w:val="nil"/>
          <w:left w:color="ffffff" w:space="0" w:sz="18" w:val="single"/>
          <w:bottom w:space="0" w:sz="0" w:val="nil"/>
          <w:right w:space="0" w:sz="0" w:val="nil"/>
          <w:insideH w:space="0" w:sz="0" w:val="nil"/>
          <w:insideV w:space="0" w:sz="0" w:val="nil"/>
        </w:tcBorders>
        <w:shd w:color="auto" w:fill="7693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3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33c" w:themeFill="accent3" w:themeFillShade="0000BF" w:val="clear"/>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val="single"/>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403152" w:themeFill="accent4" w:themeFillShade="00007F"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604a7b" w:themeFill="accent4" w:themeFillShade="0000BF" w:val="clear"/>
      </w:tcPr>
    </w:tblStylePr>
    <w:tblStylePr w:type="lastCol">
      <w:tblPr/>
      <w:tcPr>
        <w:tcBorders>
          <w:top w:space="0" w:sz="0" w:val="nil"/>
          <w:left w:color="ffffff" w:space="0" w:sz="18" w:val="single"/>
          <w:bottom w:space="0" w:sz="0" w:val="nil"/>
          <w:right w:space="0" w:sz="0" w:val="nil"/>
          <w:insideH w:space="0" w:sz="0" w:val="nil"/>
          <w:insideV w:space="0" w:sz="0" w:val="nil"/>
        </w:tcBorders>
        <w:shd w:color="auto" w:fill="604a7b"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604a7b"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604a7b" w:themeFill="accent4" w:themeFillShade="0000BF" w:val="clear"/>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val="single"/>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215867" w:themeFill="accent5" w:themeFillShade="00007F"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31859b" w:themeFill="accent5" w:themeFillShade="0000BF" w:val="clear"/>
      </w:tcPr>
    </w:tblStylePr>
    <w:tblStylePr w:type="lastCol">
      <w:tblPr/>
      <w:tcPr>
        <w:tcBorders>
          <w:top w:space="0" w:sz="0" w:val="nil"/>
          <w:left w:color="ffffff" w:space="0" w:sz="18" w:val="single"/>
          <w:bottom w:space="0" w:sz="0" w:val="nil"/>
          <w:right w:space="0" w:sz="0" w:val="nil"/>
          <w:insideH w:space="0" w:sz="0" w:val="nil"/>
          <w:insideV w:space="0" w:sz="0" w:val="nil"/>
        </w:tcBorders>
        <w:shd w:color="auto" w:fill="3185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5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59b" w:themeFill="accent5" w:themeFillShade="0000BF" w:val="clear"/>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val="single"/>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974807" w:themeFill="accent6" w:themeFillShade="00007F"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e46c0a" w:themeFill="accent6" w:themeFillShade="0000BF" w:val="clear"/>
      </w:tcPr>
    </w:tblStylePr>
    <w:tblStylePr w:type="lastCol">
      <w:tblPr/>
      <w:tcPr>
        <w:tcBorders>
          <w:top w:space="0" w:sz="0" w:val="nil"/>
          <w:left w:color="ffffff" w:space="0" w:sz="18" w:val="single"/>
          <w:bottom w:space="0" w:sz="0" w:val="nil"/>
          <w:right w:space="0" w:sz="0" w:val="nil"/>
          <w:insideH w:space="0" w:sz="0" w:val="nil"/>
          <w:insideV w:space="0" w:sz="0" w:val="nil"/>
        </w:tcBorders>
        <w:shd w:color="auto" w:fill="e4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4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46c0a" w:themeFill="accent6" w:themeFillShade="0000BF" w:val="clear"/>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Ind w:w="0.0" w:type="dxa"/>
      <w:tblBorders>
        <w:top w:color="c0504d" w:space="0" w:sz="24" w:themeColor="accent2" w:val="single"/>
        <w:left w:color="000000" w:space="0" w:sz="4" w:val="single"/>
        <w:bottom w:color="000000" w:space="0" w:sz="4" w:val="single"/>
        <w:right w:color="000000" w:space="0" w:sz="4" w:val="single"/>
        <w:insideH w:color="ffffff" w:space="0" w:sz="4" w:val="single"/>
        <w:insideV w:color="ffffff" w:space="0" w:sz="4" w:val="single"/>
      </w:tblBorders>
      <w:tblCellMar>
        <w:top w:w="0.0" w:type="dxa"/>
        <w:left w:w="108.0" w:type="dxa"/>
        <w:bottom w:w="0.0" w:type="dxa"/>
        <w:right w:w="108.0" w:type="dxa"/>
      </w:tblCellMar>
    </w:tblPr>
    <w:tcPr>
      <w:shd w:color="auto" w:fill="e5e5e5"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val="clear"/>
      </w:tcPr>
    </w:tblStylePr>
    <w:tblStylePr w:type="lastRow">
      <w:rPr>
        <w:b w:val="1"/>
        <w:bCs w:val="1"/>
        <w:color w:val="ffffff"/>
      </w:rPr>
      <w:tblPr/>
      <w:tcPr>
        <w:tcBorders>
          <w:top w:color="ffffff" w:space="0" w:sz="6" w:val="single"/>
        </w:tcBorders>
        <w:shd w:color="auto" w:fill="000000" w:themeFillShade="000099" w:val="clear"/>
      </w:tcPr>
    </w:tblStylePr>
    <w:tblStylePr w:type="firstCol">
      <w:rPr>
        <w:color w:val="ffffff"/>
      </w:rPr>
      <w:tblPr/>
      <w:tcPr>
        <w:tcBorders>
          <w:top w:space="0" w:sz="0" w:val="nil"/>
          <w:left w:space="0" w:sz="0" w:val="nil"/>
          <w:bottom w:space="0" w:sz="0" w:val="nil"/>
          <w:right w:space="0" w:sz="0" w:val="nil"/>
          <w:insideH w:color="000000" w:space="0" w:sz="4" w:themeShade="000099" w:val="single"/>
          <w:insideV w:space="0" w:sz="0" w:val="nil"/>
        </w:tcBorders>
        <w:shd w:color="auto" w:fill="000000" w:themeFillShade="000099" w:val="clear"/>
      </w:tcPr>
    </w:tblStylePr>
    <w:tblStylePr w:type="lastCol">
      <w:rPr>
        <w:color w:val="ffffff"/>
      </w:rPr>
      <w:tblPr/>
      <w:tcPr>
        <w:tcBorders>
          <w:top w:space="0" w:sz="0" w:val="nil"/>
          <w:left w:space="0" w:sz="0" w:val="nil"/>
          <w:bottom w:space="0" w:sz="0" w:val="nil"/>
          <w:right w:space="0" w:sz="0" w:val="nil"/>
          <w:insideH w:space="0" w:sz="0" w:val="nil"/>
          <w:insideV w:space="0" w:sz="0" w:val="nil"/>
        </w:tcBorders>
        <w:shd w:color="auto" w:fill="000000" w:themeFillShade="0000BF" w:val="clear"/>
      </w:tcPr>
    </w:tblStylePr>
    <w:tblStylePr w:type="band1Vert">
      <w:tblPr/>
      <w:tcPr>
        <w:shd w:color="auto" w:fill="989898" w:themeFillTint="000066" w:val="clear"/>
      </w:tcPr>
    </w:tblStylePr>
    <w:tblStylePr w:type="band1Horz">
      <w:tblPr/>
      <w:tcPr>
        <w:shd w:color="auto" w:fill="7f7f7f" w:themeFillTint="00007F" w:val="clear"/>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val="single"/>
        <w:insideV w:color="ffffff" w:space="0" w:sz="4"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val="clear"/>
      </w:tcPr>
    </w:tblStylePr>
    <w:tblStylePr w:type="lastRow">
      <w:rPr>
        <w:b w:val="1"/>
        <w:bCs w:val="1"/>
        <w:color w:val="ffffff"/>
      </w:rPr>
      <w:tblPr/>
      <w:tcPr>
        <w:tcBorders>
          <w:top w:color="ffffff" w:space="0" w:sz="6" w:val="single"/>
        </w:tcBorders>
        <w:shd w:color="auto" w:fill="2c4d75" w:themeFill="accent1" w:themeFillShade="000099" w:val="clear"/>
      </w:tcPr>
    </w:tblStylePr>
    <w:tblStylePr w:type="firstCol">
      <w:rPr>
        <w:color w:val="ffffff"/>
      </w:rPr>
      <w:tblPr/>
      <w:tcPr>
        <w:tcBorders>
          <w:top w:space="0" w:sz="0" w:val="nil"/>
          <w:left w:space="0" w:sz="0" w:val="nil"/>
          <w:bottom w:space="0" w:sz="0" w:val="nil"/>
          <w:right w:space="0" w:sz="0" w:val="nil"/>
          <w:insideH w:color="2c4d75" w:space="0" w:sz="4" w:themeColor="accent1" w:themeShade="000099" w:val="single"/>
          <w:insideV w:space="0" w:sz="0" w:val="nil"/>
        </w:tcBorders>
        <w:shd w:color="auto" w:fill="2c4d75" w:themeFill="accent1" w:themeFillShade="000099" w:val="clear"/>
      </w:tcPr>
    </w:tblStylePr>
    <w:tblStylePr w:type="lastCol">
      <w:rPr>
        <w:color w:val="ffffff"/>
      </w:rPr>
      <w:tblPr/>
      <w:tcPr>
        <w:tcBorders>
          <w:top w:space="0" w:sz="0" w:val="nil"/>
          <w:left w:space="0" w:sz="0" w:val="nil"/>
          <w:bottom w:space="0" w:sz="0" w:val="nil"/>
          <w:right w:space="0" w:sz="0" w:val="nil"/>
          <w:insideH w:space="0" w:sz="0" w:val="nil"/>
          <w:insideV w:space="0" w:sz="0" w:val="nil"/>
        </w:tcBorders>
        <w:shd w:color="auto" w:fill="2c4d75" w:themeFill="accent1" w:themeFillShade="000099" w:val="clear"/>
      </w:tcPr>
    </w:tblStylePr>
    <w:tblStylePr w:type="band1Vert">
      <w:tblPr/>
      <w:tcPr>
        <w:shd w:color="auto" w:fill="b8cce4" w:themeFill="accent1" w:themeFillTint="000066" w:val="clear"/>
      </w:tcPr>
    </w:tblStylePr>
    <w:tblStylePr w:type="band1Horz">
      <w:tblPr/>
      <w:tcPr>
        <w:shd w:color="auto" w:fill="a7c0de" w:themeFill="accent1" w:themeFillTint="00007F" w:val="clear"/>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val="single"/>
        <w:insideV w:color="ffffff" w:space="0" w:sz="4"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val="clear"/>
      </w:tcPr>
    </w:tblStylePr>
    <w:tblStylePr w:type="lastRow">
      <w:rPr>
        <w:b w:val="1"/>
        <w:bCs w:val="1"/>
        <w:color w:val="ffffff"/>
      </w:rPr>
      <w:tblPr/>
      <w:tcPr>
        <w:tcBorders>
          <w:top w:color="ffffff" w:space="0" w:sz="6" w:val="single"/>
        </w:tcBorders>
        <w:shd w:color="auto" w:fill="772c2a" w:themeFill="accent2" w:themeFillShade="000099" w:val="clear"/>
      </w:tcPr>
    </w:tblStylePr>
    <w:tblStylePr w:type="firstCol">
      <w:rPr>
        <w:color w:val="ffffff"/>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9b7" w:themeFill="accent2" w:themeFillTint="000066" w:val="clear"/>
      </w:tcPr>
    </w:tblStylePr>
    <w:tblStylePr w:type="band1Horz">
      <w:tblPr/>
      <w:tcPr>
        <w:shd w:color="auto" w:fill="dfa7a6" w:themeFill="accent2" w:themeFillTint="00007F" w:val="clear"/>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val="single"/>
        <w:insideV w:color="ffffff" w:space="0" w:sz="4"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val="clear"/>
      </w:tcPr>
    </w:tblStylePr>
    <w:tblStylePr w:type="lastRow">
      <w:rPr>
        <w:b w:val="1"/>
        <w:bCs w:val="1"/>
        <w:color w:val="ffffff"/>
      </w:rPr>
      <w:tblPr/>
      <w:tcPr>
        <w:tcBorders>
          <w:top w:color="ffffff" w:space="0" w:sz="6" w:val="single"/>
        </w:tcBorders>
        <w:shd w:color="auto" w:fill="5f7530" w:themeFill="accent3" w:themeFillShade="000099" w:val="clear"/>
      </w:tcPr>
    </w:tblStylePr>
    <w:tblStylePr w:type="firstCol">
      <w:rPr>
        <w:color w:val="ffffff"/>
      </w:rPr>
      <w:tblPr/>
      <w:tcPr>
        <w:tcBorders>
          <w:top w:space="0" w:sz="0" w:val="nil"/>
          <w:left w:space="0" w:sz="0" w:val="nil"/>
          <w:bottom w:space="0" w:sz="0" w:val="nil"/>
          <w:right w:space="0" w:sz="0" w:val="nil"/>
          <w:insideH w:color="5f7530" w:space="0" w:sz="4" w:themeColor="accent3" w:themeShade="000099" w:val="single"/>
          <w:insideV w:space="0" w:sz="0" w:val="nil"/>
        </w:tcBorders>
        <w:shd w:color="auto" w:fill="5f7530" w:themeFill="accent3" w:themeFillShade="000099" w:val="clear"/>
      </w:tcPr>
    </w:tblStylePr>
    <w:tblStylePr w:type="lastCol">
      <w:rPr>
        <w:color w:val="ffffff"/>
      </w:rPr>
      <w:tblPr/>
      <w:tcPr>
        <w:tcBorders>
          <w:top w:space="0" w:sz="0" w:val="nil"/>
          <w:left w:space="0" w:sz="0" w:val="nil"/>
          <w:bottom w:space="0" w:sz="0" w:val="nil"/>
          <w:right w:space="0" w:sz="0" w:val="nil"/>
          <w:insideH w:space="0" w:sz="0" w:val="nil"/>
          <w:insideV w:space="0" w:sz="0" w:val="nil"/>
        </w:tcBorders>
        <w:shd w:color="auto" w:fill="5f7530" w:themeFill="accent3" w:themeFillShade="000099" w:val="clear"/>
      </w:tcPr>
    </w:tblStylePr>
    <w:tblStylePr w:type="band1Vert">
      <w:tblPr/>
      <w:tcPr>
        <w:shd w:color="auto" w:fill="d7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val="single"/>
        <w:insideV w:color="ffffff" w:space="0" w:sz="4" w:val="single"/>
      </w:tblBorders>
      <w:tblCellMar>
        <w:top w:w="0.0" w:type="dxa"/>
        <w:left w:w="108.0" w:type="dxa"/>
        <w:bottom w:w="0.0" w:type="dxa"/>
        <w:right w:w="108.0" w:type="dxa"/>
      </w:tblCellMar>
    </w:tblPr>
    <w:tcPr>
      <w:shd w:color="auto" w:fill="f2eff5"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val="clear"/>
      </w:tcPr>
    </w:tblStylePr>
    <w:tblStylePr w:type="lastRow">
      <w:rPr>
        <w:b w:val="1"/>
        <w:bCs w:val="1"/>
        <w:color w:val="ffffff"/>
      </w:rPr>
      <w:tblPr/>
      <w:tcPr>
        <w:tcBorders>
          <w:top w:color="ffffff" w:space="0" w:sz="6" w:val="single"/>
        </w:tcBorders>
        <w:shd w:color="auto" w:fill="4d3b62" w:themeFill="accent4" w:themeFillShade="000099" w:val="clear"/>
      </w:tcPr>
    </w:tblStylePr>
    <w:tblStylePr w:type="firstCol">
      <w:rPr>
        <w:color w:val="ffffff"/>
      </w:rPr>
      <w:tblPr/>
      <w:tcPr>
        <w:tcBorders>
          <w:top w:space="0" w:sz="0" w:val="nil"/>
          <w:left w:space="0" w:sz="0" w:val="nil"/>
          <w:bottom w:space="0" w:sz="0" w:val="nil"/>
          <w:right w:space="0" w:sz="0" w:val="nil"/>
          <w:insideH w:color="4d3b62" w:space="0" w:sz="4" w:themeColor="accent4" w:themeShade="000099" w:val="single"/>
          <w:insideV w:space="0" w:sz="0" w:val="nil"/>
        </w:tcBorders>
        <w:shd w:color="auto" w:fill="4d3b62" w:themeFill="accent4" w:themeFillShade="000099" w:val="clear"/>
      </w:tcPr>
    </w:tblStylePr>
    <w:tblStylePr w:type="lastCol">
      <w:rPr>
        <w:color w:val="ffffff"/>
      </w:rPr>
      <w:tblPr/>
      <w:tcPr>
        <w:tcBorders>
          <w:top w:space="0" w:sz="0" w:val="nil"/>
          <w:left w:space="0" w:sz="0" w:val="nil"/>
          <w:bottom w:space="0" w:sz="0" w:val="nil"/>
          <w:right w:space="0" w:sz="0" w:val="nil"/>
          <w:insideH w:space="0" w:sz="0" w:val="nil"/>
          <w:insideV w:space="0" w:sz="0" w:val="nil"/>
        </w:tcBorders>
        <w:shd w:color="auto" w:fill="4d3b62" w:themeFill="accent4" w:themeFillShade="000099" w:val="clear"/>
      </w:tcPr>
    </w:tblStylePr>
    <w:tblStylePr w:type="band1Vert">
      <w:tblPr/>
      <w:tcPr>
        <w:shd w:color="auto" w:fill="ccc1d9" w:themeFill="accent4" w:themeFillTint="000066" w:val="clear"/>
      </w:tcPr>
    </w:tblStylePr>
    <w:tblStylePr w:type="band1Horz">
      <w:tblPr/>
      <w:tcPr>
        <w:shd w:color="auto" w:fill="bfb1d0" w:themeFill="accent4" w:themeFillTint="00007F" w:val="clear"/>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val="single"/>
        <w:insideV w:color="ffffff" w:space="0" w:sz="4"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val="clear"/>
      </w:tcPr>
    </w:tblStylePr>
    <w:tblStylePr w:type="lastRow">
      <w:rPr>
        <w:b w:val="1"/>
        <w:bCs w:val="1"/>
        <w:color w:val="ffffff"/>
      </w:rPr>
      <w:tblPr/>
      <w:tcPr>
        <w:tcBorders>
          <w:top w:color="ffffff" w:space="0" w:sz="6" w:val="single"/>
        </w:tcBorders>
        <w:shd w:color="auto" w:fill="276a7c" w:themeFill="accent5" w:themeFillShade="000099" w:val="clear"/>
      </w:tcPr>
    </w:tblStylePr>
    <w:tblStylePr w:type="firstCol">
      <w:rPr>
        <w:color w:val="ffffff"/>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7dde8" w:themeFill="accent5" w:themeFillTint="000066" w:val="clear"/>
      </w:tcPr>
    </w:tblStylePr>
    <w:tblStylePr w:type="band1Horz">
      <w:tblPr/>
      <w:tcPr>
        <w:shd w:color="auto" w:fill="a5d5e2" w:themeFill="accent5" w:themeFillTint="00007F" w:val="clear"/>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val="single"/>
        <w:insideV w:color="ffffff" w:space="0" w:sz="4"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val="clear"/>
      </w:tcPr>
    </w:tblStylePr>
    <w:tblStylePr w:type="lastRow">
      <w:rPr>
        <w:b w:val="1"/>
        <w:bCs w:val="1"/>
        <w:color w:val="ffffff"/>
      </w:rPr>
      <w:tblPr/>
      <w:tcPr>
        <w:tcBorders>
          <w:top w:color="ffffff" w:space="0" w:sz="6" w:val="single"/>
        </w:tcBorders>
        <w:shd w:color="auto" w:fill="b65708" w:themeFill="accent6" w:themeFillShade="000099" w:val="clear"/>
      </w:tcPr>
    </w:tblStylePr>
    <w:tblStylePr w:type="firstCol">
      <w:rPr>
        <w:color w:val="ffffff"/>
      </w:rPr>
      <w:tblPr/>
      <w:tcPr>
        <w:tcBorders>
          <w:top w:space="0" w:sz="0" w:val="nil"/>
          <w:left w:space="0" w:sz="0" w:val="nil"/>
          <w:bottom w:space="0" w:sz="0" w:val="nil"/>
          <w:right w:space="0" w:sz="0" w:val="nil"/>
          <w:insideH w:color="b65708" w:space="0" w:sz="4" w:themeColor="accent6" w:themeShade="000099" w:val="single"/>
          <w:insideV w:space="0" w:sz="0" w:val="nil"/>
        </w:tcBorders>
        <w:shd w:color="auto" w:fill="b65708" w:themeFill="accent6" w:themeFillShade="000099" w:val="clear"/>
      </w:tcPr>
    </w:tblStylePr>
    <w:tblStylePr w:type="lastCol">
      <w:rPr>
        <w:color w:val="ffffff"/>
      </w:rPr>
      <w:tblPr/>
      <w:tcPr>
        <w:tcBorders>
          <w:top w:space="0" w:sz="0" w:val="nil"/>
          <w:left w:space="0" w:sz="0" w:val="nil"/>
          <w:bottom w:space="0" w:sz="0" w:val="nil"/>
          <w:right w:space="0" w:sz="0" w:val="nil"/>
          <w:insideH w:space="0" w:sz="0" w:val="nil"/>
          <w:insideV w:space="0" w:sz="0" w:val="nil"/>
        </w:tcBorders>
        <w:shd w:color="auto" w:fill="b65708" w:themeFill="accent6" w:themeFillShade="000099" w:val="clear"/>
      </w:tcPr>
    </w:tblStylePr>
    <w:tblStylePr w:type="band1Vert">
      <w:tblPr/>
      <w:tcPr>
        <w:shd w:color="auto" w:fill="fbd5b5" w:themeFill="accent6" w:themeFillTint="000066" w:val="clear"/>
      </w:tcPr>
    </w:tblStylePr>
    <w:tblStylePr w:type="band1Horz">
      <w:tblPr/>
      <w:tcPr>
        <w:shd w:color="auto" w:fill="fbcaa2" w:themeFill="accent6" w:themeFillTint="00007F" w:val="clear"/>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tblInd w:w="0.0" w:type="dxa"/>
      <w:tblCellMar>
        <w:top w:w="0.0" w:type="dxa"/>
        <w:left w:w="108.0" w:type="dxa"/>
        <w:bottom w:w="0.0" w:type="dxa"/>
        <w:right w:w="108.0" w:type="dxa"/>
      </w:tblCellMar>
    </w:tblPr>
    <w:tcPr>
      <w:shd w:color="auto" w:fill="e5e5e5" w:themeFillTint="000019" w:val="clear"/>
    </w:tcPr>
    <w:tblStylePr w:type="firstRow">
      <w:rPr>
        <w:b w:val="1"/>
        <w:bCs w:val="1"/>
        <w:color w:val="ffffff"/>
      </w:rPr>
      <w:tblPr/>
      <w:tcPr>
        <w:tcBorders>
          <w:bottom w:color="ffffff" w:space="0" w:sz="12" w:val="single"/>
        </w:tcBorders>
        <w:shd w:color="auto" w:fill="9f3b38" w:themeFill="accent2" w:themeFillShade="0000CC" w:val="clear"/>
      </w:tcPr>
    </w:tblStylePr>
    <w:tblStylePr w:type="lastRow">
      <w:rPr>
        <w:b w:val="1"/>
        <w:bCs w:val="1"/>
        <w:color w:val="9f3b38"/>
      </w:rPr>
      <w:tbl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bfbfbf" w:themeFillTint="00003F" w:val="clear"/>
      </w:tcPr>
    </w:tblStylePr>
    <w:tblStylePr w:type="band1Horz">
      <w:tblPr/>
      <w:tcPr>
        <w:shd w:color="auto" w:fill="cbcbcb" w:themeFillTint="000033" w:val="clear"/>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rPr>
      <w:tblPr/>
      <w:tcPr>
        <w:tcBorders>
          <w:bottom w:color="ffffff" w:space="0" w:sz="12" w:val="single"/>
        </w:tcBorders>
        <w:shd w:color="auto" w:fill="9f3b38" w:themeFill="accent2" w:themeFillShade="0000CC" w:val="clear"/>
      </w:tcPr>
    </w:tblStylePr>
    <w:tblStylePr w:type="lastRow">
      <w:rPr>
        <w:b w:val="1"/>
        <w:bCs w:val="1"/>
        <w:color w:val="9f3b38"/>
      </w:rPr>
      <w:tbl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rPr>
      <w:tblPr/>
      <w:tcPr>
        <w:tcBorders>
          <w:bottom w:color="ffffff" w:space="0" w:sz="12" w:val="single"/>
        </w:tcBorders>
        <w:shd w:color="auto" w:fill="9f3b38" w:themeFill="accent2" w:themeFillShade="0000CC" w:val="clear"/>
      </w:tcPr>
    </w:tblStylePr>
    <w:tblStylePr w:type="lastRow">
      <w:rPr>
        <w:b w:val="1"/>
        <w:bCs w:val="1"/>
        <w:color w:val="9f3b38"/>
      </w:rPr>
      <w:tbl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3"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rPr>
      <w:tblPr/>
      <w:tcPr>
        <w:tcBorders>
          <w:bottom w:color="ffffff" w:space="0" w:sz="12" w:val="single"/>
        </w:tcBorders>
        <w:shd w:color="auto" w:fill="664f83" w:themeFill="accent4" w:themeFillShade="0000CC" w:val="clear"/>
      </w:tcPr>
    </w:tblStylePr>
    <w:tblStylePr w:type="lastRow">
      <w:rPr>
        <w:b w:val="1"/>
        <w:bCs w:val="1"/>
        <w:color w:val="664f83"/>
      </w:rPr>
      <w:tbl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bf1dd" w:themeFill="accent3" w:themeFillTint="000033" w:val="clear"/>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Ind w:w="0.0" w:type="dxa"/>
      <w:tblCellMar>
        <w:top w:w="0.0" w:type="dxa"/>
        <w:left w:w="108.0" w:type="dxa"/>
        <w:bottom w:w="0.0" w:type="dxa"/>
        <w:right w:w="108.0" w:type="dxa"/>
      </w:tblCellMar>
    </w:tblPr>
    <w:tcPr>
      <w:shd w:color="auto" w:fill="f2eff5" w:themeFill="accent4" w:themeFillTint="000019" w:val="clear"/>
    </w:tcPr>
    <w:tblStylePr w:type="firstRow">
      <w:rPr>
        <w:b w:val="1"/>
        <w:bCs w:val="1"/>
        <w:color w:val="ffffff"/>
      </w:rPr>
      <w:tblPr/>
      <w:tcPr>
        <w:tcBorders>
          <w:bottom w:color="ffffff" w:space="0" w:sz="12" w:val="single"/>
        </w:tcBorders>
        <w:shd w:color="auto" w:fill="7e9d40" w:themeFill="accent3" w:themeFillShade="0000CC" w:val="clear"/>
      </w:tcPr>
    </w:tblStylePr>
    <w:tblStylePr w:type="lastRow">
      <w:rPr>
        <w:b w:val="1"/>
        <w:bCs w:val="1"/>
        <w:color w:val="7e9d40"/>
      </w:rPr>
      <w:tbl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e0ec" w:themeFill="accent4" w:themeFillTint="000033" w:val="clear"/>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rPr>
      <w:tblPr/>
      <w:tcPr>
        <w:tcBorders>
          <w:bottom w:color="ffffff" w:space="0" w:sz="12" w:val="single"/>
        </w:tcBorders>
        <w:shd w:color="auto" w:fill="f3740b" w:themeFill="accent6" w:themeFillShade="0000CC" w:val="clear"/>
      </w:tcPr>
    </w:tblStylePr>
    <w:tblStylePr w:type="lastRow">
      <w:rPr>
        <w:b w:val="1"/>
        <w:bCs w:val="1"/>
        <w:color w:val="f3740b"/>
      </w:rPr>
      <w:tbl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0"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rPr>
      <w:tblPr/>
      <w:tcPr>
        <w:tcBorders>
          <w:bottom w:color="ffffff" w:space="0" w:sz="12" w:val="single"/>
        </w:tcBorders>
        <w:shd w:color="auto" w:fill="358ea6" w:themeFill="accent5" w:themeFillShade="0000CC" w:val="clear"/>
      </w:tcPr>
    </w:tblStylePr>
    <w:tblStylePr w:type="lastRow">
      <w:rPr>
        <w:b w:val="1"/>
        <w:bCs w:val="1"/>
        <w:color w:val="358ea6"/>
      </w:rPr>
      <w:tbl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5d1" w:themeFill="accent6" w:themeFillTint="00003F" w:val="clear"/>
      </w:tcPr>
    </w:tblStylePr>
    <w:tblStylePr w:type="band1Horz">
      <w:tblPr/>
      <w:tcPr>
        <w:shd w:color="auto" w:fill="fdead9" w:themeFill="accent6" w:themeFillTint="000033" w:val="clear"/>
      </w:tcPr>
    </w:tblStylePr>
  </w:style>
  <w:style w:type="table" w:styleId="ColorfulGrid">
    <w:name w:val="Colorful Grid"/>
    <w:basedOn w:val="TableNormal"/>
    <w:uiPriority w:val="73"/>
    <w:pPr>
      <w:spacing w:after="0" w:line="240" w:lineRule="auto"/>
    </w:pPr>
    <w:rPr>
      <w:color w:val="000000"/>
    </w:rPr>
    <w:tblPr>
      <w:tblStyleRowBandSize w:val="1"/>
      <w:tblStyleColBandSize w:val="1"/>
      <w:tblInd w:w="0.0" w:type="dxa"/>
      <w:tblBorders>
        <w:insideH w:color="ffffff" w:space="0" w:sz="4" w:val="single"/>
      </w:tblBorders>
      <w:tblCellMar>
        <w:top w:w="0.0" w:type="dxa"/>
        <w:left w:w="108.0" w:type="dxa"/>
        <w:bottom w:w="0.0" w:type="dxa"/>
        <w:right w:w="108.0" w:type="dxa"/>
      </w:tblCellMar>
    </w:tblPr>
    <w:tcPr>
      <w:shd w:color="auto" w:fill="cbcbcb" w:themeFillTint="000033" w:val="clear"/>
    </w:tcPr>
    <w:tblStylePr w:type="firstRow">
      <w:rPr>
        <w:b w:val="1"/>
        <w:bCs w:val="1"/>
      </w:rPr>
      <w:tblPr/>
      <w:tcPr>
        <w:shd w:color="auto" w:fill="989898" w:themeFillTint="000066" w:val="clear"/>
      </w:tcPr>
    </w:tblStylePr>
    <w:tblStylePr w:type="lastRow">
      <w:rPr>
        <w:b w:val="1"/>
        <w:bCs w:val="1"/>
        <w:color w:val="000000"/>
      </w:rPr>
      <w:tblPr/>
      <w:tcPr>
        <w:shd w:color="auto" w:fill="989898" w:themeFillTint="000066" w:val="clear"/>
      </w:tcPr>
    </w:tblStylePr>
    <w:tblStylePr w:type="firstCol">
      <w:rPr>
        <w:color w:val="ffffff"/>
      </w:rPr>
      <w:tblPr/>
      <w:tcPr>
        <w:shd w:color="auto" w:fill="000000" w:themeFillShade="0000BF" w:val="clear"/>
      </w:tcPr>
    </w:tblStylePr>
    <w:tblStylePr w:type="lastCol">
      <w:rPr>
        <w:color w:val="ffffff"/>
      </w:rPr>
      <w:tblPr/>
      <w:tcPr>
        <w:shd w:color="auto" w:fill="000000" w:themeFillShade="0000BF" w:val="clear"/>
      </w:tcPr>
    </w:tblStylePr>
    <w:tblStylePr w:type="band1Vert">
      <w:tblPr/>
      <w:tcPr>
        <w:shd w:color="auto" w:fill="7f7f7f" w:themeFillTint="00007F" w:val="clear"/>
      </w:tcPr>
    </w:tblStylePr>
    <w:tblStylePr w:type="band1Horz">
      <w:tblPr/>
      <w:tcPr>
        <w:shd w:color="auto" w:fill="7f7f7f" w:themeFillTint="00007F" w:val="clear"/>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Ind w:w="0.0" w:type="dxa"/>
      <w:tblBorders>
        <w:insideH w:color="ffffff" w:space="0" w:sz="4"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rPr>
      <w:tblPr/>
      <w:tcPr>
        <w:shd w:color="auto" w:fill="b8cce4" w:themeFill="accent1" w:themeFillTint="000066" w:val="clear"/>
      </w:tcPr>
    </w:tblStylePr>
    <w:tblStylePr w:type="firstCol">
      <w:rPr>
        <w:color w:val="ffffff"/>
      </w:rPr>
      <w:tblPr/>
      <w:tcPr>
        <w:shd w:color="auto" w:fill="376092" w:themeFill="accent1" w:themeFillShade="0000BF" w:val="clear"/>
      </w:tcPr>
    </w:tblStylePr>
    <w:tblStylePr w:type="lastCol">
      <w:rPr>
        <w:color w:val="ffffff"/>
      </w:rPr>
      <w:tblPr/>
      <w:tcPr>
        <w:shd w:color="auto" w:fill="376092" w:themeFill="accent1" w:themeFillShade="0000BF" w:val="clear"/>
      </w:tcPr>
    </w:tblStylePr>
    <w:tblStylePr w:type="band1Vert">
      <w:tblPr/>
      <w:tcPr>
        <w:shd w:color="auto" w:fill="a7c0de" w:themeFill="accent1" w:themeFillTint="00007F" w:val="clear"/>
      </w:tcPr>
    </w:tblStylePr>
    <w:tblStylePr w:type="band1Horz">
      <w:tblPr/>
      <w:tcPr>
        <w:shd w:color="auto" w:fill="a7c0de" w:themeFill="accent1" w:themeFillTint="00007F" w:val="clear"/>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Ind w:w="0.0" w:type="dxa"/>
      <w:tblBorders>
        <w:insideH w:color="ffffff" w:space="0" w:sz="4"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9b7" w:themeFill="accent2" w:themeFillTint="000066" w:val="clear"/>
      </w:tcPr>
    </w:tblStylePr>
    <w:tblStylePr w:type="lastRow">
      <w:rPr>
        <w:b w:val="1"/>
        <w:bCs w:val="1"/>
        <w:color w:val="000000"/>
      </w:rPr>
      <w:tblPr/>
      <w:tcPr>
        <w:shd w:color="auto" w:fill="e5b9b7" w:themeFill="accent2" w:themeFillTint="000066" w:val="clear"/>
      </w:tcPr>
    </w:tblStylePr>
    <w:tblStylePr w:type="firstCol">
      <w:rPr>
        <w:color w:val="ffffff"/>
      </w:rPr>
      <w:tblPr/>
      <w:tcPr>
        <w:shd w:color="auto" w:fill="953735" w:themeFill="accent2" w:themeFillShade="0000BF" w:val="clear"/>
      </w:tcPr>
    </w:tblStylePr>
    <w:tblStylePr w:type="lastCol">
      <w:rPr>
        <w:color w:val="ffffff"/>
      </w:rPr>
      <w:tblPr/>
      <w:tcPr>
        <w:shd w:color="auto" w:fill="953735"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Ind w:w="0.0" w:type="dxa"/>
      <w:tblBorders>
        <w:insideH w:color="ffffff" w:space="0" w:sz="4" w:val="single"/>
      </w:tblBorders>
      <w:tblCellMar>
        <w:top w:w="0.0" w:type="dxa"/>
        <w:left w:w="108.0" w:type="dxa"/>
        <w:bottom w:w="0.0" w:type="dxa"/>
        <w:right w:w="108.0" w:type="dxa"/>
      </w:tblCellMar>
    </w:tblPr>
    <w:tcPr>
      <w:shd w:color="auto" w:fill="ebf1dd" w:themeFill="accent3" w:themeFillTint="000033" w:val="clear"/>
    </w:tcPr>
    <w:tblStylePr w:type="firstRow">
      <w:rPr>
        <w:b w:val="1"/>
        <w:bCs w:val="1"/>
      </w:rPr>
      <w:tblPr/>
      <w:tcPr>
        <w:shd w:color="auto" w:fill="d7e3bc" w:themeFill="accent3" w:themeFillTint="000066" w:val="clear"/>
      </w:tcPr>
    </w:tblStylePr>
    <w:tblStylePr w:type="lastRow">
      <w:rPr>
        <w:b w:val="1"/>
        <w:bCs w:val="1"/>
        <w:color w:val="000000"/>
      </w:rPr>
      <w:tblPr/>
      <w:tcPr>
        <w:shd w:color="auto" w:fill="d7e3bc" w:themeFill="accent3" w:themeFillTint="000066" w:val="clear"/>
      </w:tcPr>
    </w:tblStylePr>
    <w:tblStylePr w:type="firstCol">
      <w:rPr>
        <w:color w:val="ffffff"/>
      </w:rPr>
      <w:tblPr/>
      <w:tcPr>
        <w:shd w:color="auto" w:fill="76933c" w:themeFill="accent3" w:themeFillShade="0000BF" w:val="clear"/>
      </w:tcPr>
    </w:tblStylePr>
    <w:tblStylePr w:type="lastCol">
      <w:rPr>
        <w:color w:val="ffffff"/>
      </w:rPr>
      <w:tblPr/>
      <w:tcPr>
        <w:shd w:color="auto" w:fill="7693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Ind w:w="0.0" w:type="dxa"/>
      <w:tblBorders>
        <w:insideH w:color="ffffff" w:space="0" w:sz="4" w:val="single"/>
      </w:tblBorders>
      <w:tblCellMar>
        <w:top w:w="0.0" w:type="dxa"/>
        <w:left w:w="108.0" w:type="dxa"/>
        <w:bottom w:w="0.0" w:type="dxa"/>
        <w:right w:w="108.0" w:type="dxa"/>
      </w:tblCellMar>
    </w:tblPr>
    <w:tcPr>
      <w:shd w:color="auto" w:fill="e5e0ec" w:themeFill="accent4" w:themeFillTint="000033" w:val="clear"/>
    </w:tcPr>
    <w:tblStylePr w:type="firstRow">
      <w:rPr>
        <w:b w:val="1"/>
        <w:bCs w:val="1"/>
      </w:rPr>
      <w:tblPr/>
      <w:tcPr>
        <w:shd w:color="auto" w:fill="ccc1d9" w:themeFill="accent4" w:themeFillTint="000066" w:val="clear"/>
      </w:tcPr>
    </w:tblStylePr>
    <w:tblStylePr w:type="lastRow">
      <w:rPr>
        <w:b w:val="1"/>
        <w:bCs w:val="1"/>
        <w:color w:val="000000"/>
      </w:rPr>
      <w:tblPr/>
      <w:tcPr>
        <w:shd w:color="auto" w:fill="ccc1d9" w:themeFill="accent4" w:themeFillTint="000066" w:val="clear"/>
      </w:tcPr>
    </w:tblStylePr>
    <w:tblStylePr w:type="firstCol">
      <w:rPr>
        <w:color w:val="ffffff"/>
      </w:rPr>
      <w:tblPr/>
      <w:tcPr>
        <w:shd w:color="auto" w:fill="604a7b" w:themeFill="accent4" w:themeFillShade="0000BF" w:val="clear"/>
      </w:tcPr>
    </w:tblStylePr>
    <w:tblStylePr w:type="lastCol">
      <w:rPr>
        <w:color w:val="ffffff"/>
      </w:rPr>
      <w:tblPr/>
      <w:tcPr>
        <w:shd w:color="auto" w:fill="604a7b"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Ind w:w="0.0" w:type="dxa"/>
      <w:tblBorders>
        <w:insideH w:color="ffffff" w:space="0" w:sz="4"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7dde8" w:themeFill="accent5" w:themeFillTint="000066" w:val="clear"/>
      </w:tcPr>
    </w:tblStylePr>
    <w:tblStylePr w:type="lastRow">
      <w:rPr>
        <w:b w:val="1"/>
        <w:bCs w:val="1"/>
        <w:color w:val="000000"/>
      </w:rPr>
      <w:tblPr/>
      <w:tcPr>
        <w:shd w:color="auto" w:fill="b7dde8" w:themeFill="accent5" w:themeFillTint="000066" w:val="clear"/>
      </w:tcPr>
    </w:tblStylePr>
    <w:tblStylePr w:type="firstCol">
      <w:rPr>
        <w:color w:val="ffffff"/>
      </w:rPr>
      <w:tblPr/>
      <w:tcPr>
        <w:shd w:color="auto" w:fill="31859b" w:themeFill="accent5" w:themeFillShade="0000BF" w:val="clear"/>
      </w:tcPr>
    </w:tblStylePr>
    <w:tblStylePr w:type="lastCol">
      <w:rPr>
        <w:color w:val="ffffff"/>
      </w:rPr>
      <w:tblPr/>
      <w:tcPr>
        <w:shd w:color="auto" w:fill="3185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Ind w:w="0.0" w:type="dxa"/>
      <w:tblBorders>
        <w:insideH w:color="ffffff" w:space="0" w:sz="4" w:val="single"/>
      </w:tblBorders>
      <w:tblCellMar>
        <w:top w:w="0.0" w:type="dxa"/>
        <w:left w:w="108.0" w:type="dxa"/>
        <w:bottom w:w="0.0" w:type="dxa"/>
        <w:right w:w="108.0" w:type="dxa"/>
      </w:tblCellMar>
    </w:tblPr>
    <w:tcPr>
      <w:shd w:color="auto" w:fill="fdead9" w:themeFill="accent6" w:themeFillTint="000033" w:val="clear"/>
    </w:tcPr>
    <w:tblStylePr w:type="firstRow">
      <w:rPr>
        <w:b w:val="1"/>
        <w:bCs w:val="1"/>
      </w:rPr>
      <w:tblPr/>
      <w:tcPr>
        <w:shd w:color="auto" w:fill="fbd5b5" w:themeFill="accent6" w:themeFillTint="000066" w:val="clear"/>
      </w:tcPr>
    </w:tblStylePr>
    <w:tblStylePr w:type="lastRow">
      <w:rPr>
        <w:b w:val="1"/>
        <w:bCs w:val="1"/>
        <w:color w:val="000000"/>
      </w:rPr>
      <w:tblPr/>
      <w:tcPr>
        <w:shd w:color="auto" w:fill="fbd5b5" w:themeFill="accent6" w:themeFillTint="000066" w:val="clear"/>
      </w:tcPr>
    </w:tblStylePr>
    <w:tblStylePr w:type="firstCol">
      <w:rPr>
        <w:color w:val="ffffff"/>
      </w:rPr>
      <w:tblPr/>
      <w:tcPr>
        <w:shd w:color="auto" w:fill="e46c0a" w:themeFill="accent6" w:themeFillShade="0000BF" w:val="clear"/>
      </w:tcPr>
    </w:tblStylePr>
    <w:tblStylePr w:type="lastCol">
      <w:rPr>
        <w:color w:val="ffffff"/>
      </w:rPr>
      <w:tblPr/>
      <w:tcPr>
        <w:shd w:color="auto" w:fill="e4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cbG5BkkMuCPPEUH3OmD152brDw==">CgMxLjAaJAoBMBIfCh0IB0IZCgVBcmlhbBIQQXJpYWwgVW5pY29kZSBNUxokCgExEh8KHQgHQhkKBUFyaWFsEhBBcmlhbCBVbmljb2RlIE1TGiQKATISHwodCAdCGQoFQXJpYWwSEEFyaWFsIFVuaWNvZGUgTVM4AHIhMUlWTHA5Y2dRZ00tZkJtMjlhZ3lXVW90Yk1SZWVQa2h4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