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Seamless Services for Children and Young People – Project Description</w:t>
      </w:r>
    </w:p>
    <w:p>
      <w:pPr>
        <w:pStyle w:val="BodyText"/>
      </w:pPr>
      <w:r>
        <w:t xml:space="preserve">This document reflects the textual portion of a co-financing application entitled</w:t>
      </w:r>
      <w:r>
        <w:t xml:space="preserve"> </w:t>
      </w:r>
      <w:r>
        <w:t xml:space="preserve">“A Common Lift – Seamless Services for Children and Young People”</w:t>
      </w:r>
      <w:r>
        <w:t xml:space="preserve"> </w:t>
      </w:r>
      <w:r>
        <w:t xml:space="preserve">as submitted in the Excel application template on 8 August 2025.</w:t>
      </w:r>
    </w:p>
    <w:p>
      <w:pPr>
        <w:pStyle w:val="BodyText"/>
      </w:pPr>
      <w:r>
        <w:t xml:space="preserve">An introductory chapter with a summary has also been included here, as it does not fit within the application template.</w:t>
      </w:r>
      <w:r>
        <w:t xml:space="preserve"> </w:t>
      </w:r>
      <w:r>
        <w:rPr>
          <w:b/>
          <w:bCs/>
        </w:rPr>
        <w:t xml:space="preserve">Please read the summary first, either as an introduction or as a substitute for reading the full text.</w:t>
      </w:r>
    </w:p>
    <w:p>
      <w:pPr>
        <w:pStyle w:val="BodyText"/>
      </w:pPr>
      <w:r>
        <w:t xml:space="preserve">The application was largely prepared in July 2025, towards a deadline of 10 August – a short notice after the applicants learned in mid-June that applications were being accepted for residual funds under the co-financing scheme.</w:t>
      </w:r>
    </w:p>
    <w:tbl>
      <w:tblPr>
        <w:tblStyle w:val="FigureTable"/>
        <w:tblW w:type="auto" w:w="0"/>
        <w:jc w:val="center"/>
        <w:tblLook w:firstRow="0" w:lastRow="0" w:firstColumn="0" w:lastColumn="0"/>
      </w:tblPr>
      <w:tblGrid>
        <w:gridCol w:w="7920"/>
      </w:tblGrid>
      <w:tr>
        <w:tc>
          <w:tcPr/>
          <w:p>
            <w:pPr>
              <w:pStyle w:val="Compact"/>
              <w:jc w:val="center"/>
            </w:pPr>
            <w:r>
              <w:t xml:space="preserve">Et bilde som inneholder klær, sko, gutt, mann KI-generert innhold kan være feil.</w:t>
            </w:r>
          </w:p>
        </w:tc>
      </w:tr>
    </w:tbl>
    <w:p>
      <w:pPr>
        <w:pStyle w:val="ImageCaption"/>
      </w:pPr>
      <w:r>
        <w:t xml:space="preserve">Et bilde som inneholder klær, sko, gutt, mann KI-generert innhold kan være feil.</w:t>
      </w:r>
    </w:p>
    <w:p>
      <w:pPr>
        <w:pStyle w:val="BodyText"/>
      </w:pPr>
    </w:p>
    <w:bookmarkStart w:id="16" w:name="summary-not-part-of-the-application"/>
    <w:p>
      <w:pPr>
        <w:pStyle w:val="Heading1"/>
      </w:pPr>
      <w:r>
        <w:t xml:space="preserve">SUMMARY (not part of the application)</w:t>
      </w:r>
    </w:p>
    <w:p>
      <w:pPr>
        <w:pStyle w:val="FirstParagraph"/>
      </w:pPr>
      <w:r>
        <w:t xml:space="preserve">The following is a summary of the application. Note: This is not part of the formal application – the application template does not include space for such a summary.</w:t>
      </w:r>
    </w:p>
    <w:p>
      <w:pPr>
        <w:pStyle w:val="BodyText"/>
      </w:pPr>
      <w:r>
        <w:t xml:space="preserve">Project title:</w:t>
      </w:r>
      <w:r>
        <w:t xml:space="preserve"> </w:t>
      </w:r>
      <w:r>
        <w:rPr>
          <w:b/>
          <w:bCs/>
        </w:rPr>
        <w:t xml:space="preserve">A Common Lift: Seamless Services for Children and Young People</w:t>
      </w:r>
    </w:p>
    <w:p>
      <w:pPr>
        <w:pStyle w:val="BodyText"/>
      </w:pPr>
      <w:r>
        <w:t xml:space="preserve">Budget and time period: We are applying for approximately 35 MNOK as 50% funding over a project period running from October 2025 through to the end of 2027.</w:t>
      </w:r>
    </w:p>
    <w:p>
      <w:pPr>
        <w:pStyle w:val="BodyText"/>
      </w:pPr>
      <w:r>
        <w:t xml:space="preserve">Lead applicant: Digdir</w:t>
      </w:r>
    </w:p>
    <w:p>
      <w:pPr>
        <w:pStyle w:val="BodyText"/>
      </w:pPr>
      <w:r>
        <w:t xml:space="preserve">Partners: KS/KS Digital, STAF, Udir*, HK-dir, Sikt, Novari IKS, SSB.</w:t>
      </w:r>
    </w:p>
    <w:p>
      <w:pPr>
        <w:pStyle w:val="BodyText"/>
      </w:pPr>
      <w:r>
        <w:t xml:space="preserve">Anchoring: The budget is anchored at director level among project partners (letters of intent).</w:t>
      </w:r>
    </w:p>
    <w:bookmarkStart w:id="9" w:name="background"/>
    <w:p>
      <w:pPr>
        <w:pStyle w:val="Heading2"/>
      </w:pPr>
      <w:r>
        <w:t xml:space="preserve">Background:</w:t>
      </w:r>
    </w:p>
    <w:p>
      <w:pPr>
        <w:pStyle w:val="FirstParagraph"/>
      </w:pPr>
      <w:r>
        <w:t xml:space="preserve">The project builds on previous work and collaboration on digitalisation, particularly within architecture and common solutions for data sharing and service development, and addresses some of the interoperability challenges that remain – across sectors and domains, with a focus on the area of children and young people – from kindergarten to higher education.</w:t>
      </w:r>
    </w:p>
    <w:p>
      <w:pPr>
        <w:pStyle w:val="BodyText"/>
      </w:pPr>
      <w:r>
        <w:t xml:space="preserve">This is reflected in the Digitalisation Strategy 2024–2030 and several of the reports referenced in this application. The Digitalisation Strategy states, among other things:</w:t>
      </w:r>
      <w:r>
        <w:t xml:space="preserve"> </w:t>
      </w:r>
      <w:r>
        <w:t xml:space="preserve">“</w:t>
      </w:r>
      <w:r>
        <w:rPr>
          <w:i/>
          <w:iCs/>
        </w:rPr>
        <w:t xml:space="preserve">Better collaboration on digitalisation across sectors and administrative levels is necessary for efficient use of resources and better services. The government will therefore strengthen its collaboration with KS on digitalisation across sectors and administrative levels.</w:t>
      </w:r>
      <w:r>
        <w:t xml:space="preserve">”</w:t>
      </w:r>
      <w:r>
        <w:t xml:space="preserve"> </w:t>
      </w:r>
      <w:r>
        <w:t xml:space="preserve">It further highlights particular challenges in the municipal sector, including variation in digital maturity, limited resources, and the need for better facilitation for municipalities to reuse national data and digital resources in their own service development – while the state must also be able to use data from municipalities.</w:t>
      </w:r>
    </w:p>
    <w:p>
      <w:pPr>
        <w:pStyle w:val="BodyText"/>
      </w:pPr>
      <w:r>
        <w:t xml:space="preserve">Our project can be read as a direct response to the digitalisation strategy. This is a collaborative project that addresses the challenges collectively, across municipalities, county councils, and state agencies. Within the area of children and young people – from kindergarten to higher education – we also point to the</w:t>
      </w:r>
      <w:r>
        <w:t xml:space="preserve"> </w:t>
      </w:r>
      <w:r>
        <w:rPr>
          <w:i/>
          <w:iCs/>
        </w:rPr>
        <w:t xml:space="preserve">Strategy for Digital Competence and Infrastructure in Kindergartens and Schools</w:t>
      </w:r>
      <w:r>
        <w:t xml:space="preserve">, which highlights the importance of standardising data and application programming interfaces in order to achieve more user-centred and efficient sharing of information.</w:t>
      </w:r>
    </w:p>
    <w:p>
      <w:pPr>
        <w:pStyle w:val="BodyText"/>
      </w:pPr>
      <w:r>
        <w:t xml:space="preserve">Co-financing will, at this juncture, be an enabling factor for capitalising on the momentum of ongoing collaboration and getting this project off the ground.</w:t>
      </w:r>
    </w:p>
    <w:p>
      <w:pPr>
        <w:pStyle w:val="BodyText"/>
      </w:pPr>
      <w:r>
        <w:t xml:space="preserve">Et bilde som inneholder Font, tekst, hvit, typografi KI-generert innhold kan være feil.</w:t>
      </w:r>
      <w:r>
        <w:t xml:space="preserve">Et bilde som inneholder Font, tekst, hvit, typografi KI-generert innhold kan være feil.</w:t>
      </w:r>
    </w:p>
    <w:bookmarkEnd w:id="9"/>
    <w:bookmarkStart w:id="10" w:name="purpose-and-ambition"/>
    <w:p>
      <w:pPr>
        <w:pStyle w:val="Heading2"/>
      </w:pPr>
      <w:r>
        <w:t xml:space="preserve">Purpose and ambition:</w:t>
      </w:r>
    </w:p>
    <w:p>
      <w:pPr>
        <w:pStyle w:val="FirstParagraph"/>
      </w:pPr>
      <w:r>
        <w:t xml:space="preserve">The purpose is to establish a common foundation for collaboration and knowledge in data-centric service development and seamless user journeys across administrative levels and sectors, with piloting based in the area of children and young people – from kindergarten to higher education.</w:t>
      </w:r>
    </w:p>
    <w:p>
      <w:pPr>
        <w:pStyle w:val="BodyText"/>
      </w:pPr>
      <w:r>
        <w:t xml:space="preserve">The ambition is broad, systematic application and further development of the project’s products for all services for which the public sector is responsible.</w:t>
      </w:r>
    </w:p>
    <w:p>
      <w:pPr>
        <w:pStyle w:val="BodyText"/>
      </w:pPr>
      <w:r>
        <w:t xml:space="preserve">Through practical testing and competence building, the project will lay the groundwork for the</w:t>
      </w:r>
      <w:r>
        <w:t xml:space="preserve"> </w:t>
      </w:r>
      <w:r>
        <w:rPr>
          <w:i/>
          <w:iCs/>
        </w:rPr>
        <w:t xml:space="preserve">common foundation</w:t>
      </w:r>
      <w:r>
        <w:t xml:space="preserve"> </w:t>
      </w:r>
      <w:r>
        <w:t xml:space="preserve">to be mature and well-known, so that it is used and built upon, including in other domains.</w:t>
      </w:r>
    </w:p>
    <w:p>
      <w:pPr>
        <w:pStyle w:val="BodyText"/>
      </w:pPr>
      <w:r>
        <w:t xml:space="preserve">The project will build on existing experience and extensive collaboration on data sharing and seamless services in the public sector.</w:t>
      </w:r>
    </w:p>
    <w:p>
      <w:pPr>
        <w:pStyle w:val="BodyText"/>
      </w:pPr>
      <w:r>
        <w:t xml:space="preserve">The aim is to realise significant socioeconomic benefits as a result of the project’s products, measured over a ten-year period.</w:t>
      </w:r>
    </w:p>
    <w:bookmarkEnd w:id="10"/>
    <w:bookmarkStart w:id="11" w:name="scope-of-the-project"/>
    <w:p>
      <w:pPr>
        <w:pStyle w:val="Heading2"/>
      </w:pPr>
      <w:r>
        <w:t xml:space="preserve">Scope of the project:</w:t>
      </w:r>
    </w:p>
    <w:p>
      <w:pPr>
        <w:pStyle w:val="FirstParagraph"/>
      </w:pPr>
      <w:r>
        <w:t xml:space="preserve">This project is limited to selected services and use cases in a defined area of children and young people – from kindergarten to higher education, as well as selected interfaces towards other domains – such as social services, health, and working life. Benefit assessments in this application are made for this area, while at the same time laying the groundwork for benefits when scaling to other domains.</w:t>
      </w:r>
    </w:p>
    <w:bookmarkEnd w:id="11"/>
    <w:bookmarkStart w:id="12" w:name="project-products"/>
    <w:p>
      <w:pPr>
        <w:pStyle w:val="Heading2"/>
      </w:pPr>
      <w:r>
        <w:t xml:space="preserve">Project products:</w:t>
      </w:r>
    </w:p>
    <w:p>
      <w:pPr>
        <w:pStyle w:val="FirstParagraph"/>
      </w:pPr>
      <w:r>
        <w:t xml:space="preserve">The project has defined the following main products, which will be developed iteratively throughout the project period:</w:t>
      </w:r>
    </w:p>
    <w:p>
      <w:pPr>
        <w:numPr>
          <w:ilvl w:val="0"/>
          <w:numId w:val="1001"/>
        </w:numPr>
      </w:pPr>
      <w:r>
        <w:t xml:space="preserve">Framework for data-centric service development, based on the chosen concept</w:t>
      </w:r>
    </w:p>
    <w:p>
      <w:pPr>
        <w:numPr>
          <w:ilvl w:val="0"/>
          <w:numId w:val="1001"/>
        </w:numPr>
      </w:pPr>
      <w:r>
        <w:t xml:space="preserve">Common catalogue solutions</w:t>
      </w:r>
    </w:p>
    <w:p>
      <w:pPr>
        <w:numPr>
          <w:ilvl w:val="0"/>
          <w:numId w:val="1001"/>
        </w:numPr>
      </w:pPr>
      <w:r>
        <w:t xml:space="preserve">Common information models in the area of children and young people – from kindergarten to higher education</w:t>
      </w:r>
    </w:p>
    <w:p>
      <w:pPr>
        <w:numPr>
          <w:ilvl w:val="0"/>
          <w:numId w:val="1001"/>
        </w:numPr>
      </w:pPr>
      <w:r>
        <w:t xml:space="preserve">Improved common solutions</w:t>
      </w:r>
    </w:p>
    <w:p>
      <w:pPr>
        <w:numPr>
          <w:ilvl w:val="0"/>
          <w:numId w:val="1001"/>
        </w:numPr>
      </w:pPr>
      <w:r>
        <w:t xml:space="preserve">MVPs and piloting of information models and services in the area of children and young people – from kindergarten to higher education</w:t>
      </w:r>
    </w:p>
    <w:p>
      <w:pPr>
        <w:numPr>
          <w:ilvl w:val="0"/>
          <w:numId w:val="1001"/>
        </w:numPr>
      </w:pPr>
      <w:r>
        <w:t xml:space="preserve">Input to regulatory changes</w:t>
      </w:r>
    </w:p>
    <w:p>
      <w:pPr>
        <w:numPr>
          <w:ilvl w:val="0"/>
          <w:numId w:val="1001"/>
        </w:numPr>
      </w:pPr>
      <w:r>
        <w:t xml:space="preserve">Knowledge sharing for competence building and dissemination</w:t>
      </w:r>
    </w:p>
    <w:p>
      <w:pPr>
        <w:pStyle w:val="FirstParagraph"/>
      </w:pPr>
      <w:r>
        <w:t xml:space="preserve">Examples of relevant MVPs/pilots (to be prioritised during the project):</w:t>
      </w:r>
    </w:p>
    <w:p>
      <w:pPr>
        <w:numPr>
          <w:ilvl w:val="0"/>
          <w:numId w:val="1002"/>
        </w:numPr>
      </w:pPr>
      <w:r>
        <w:t xml:space="preserve">Transitions between educational levels and educational programmes.</w:t>
      </w:r>
    </w:p>
    <w:p>
      <w:pPr>
        <w:numPr>
          <w:ilvl w:val="0"/>
          <w:numId w:val="1002"/>
        </w:numPr>
      </w:pPr>
      <w:r>
        <w:t xml:space="preserve">Interplay with other municipal services such as child welfare, PPT (educational psychology service), DigiUng.</w:t>
      </w:r>
    </w:p>
    <w:p>
      <w:pPr>
        <w:numPr>
          <w:ilvl w:val="0"/>
          <w:numId w:val="1002"/>
        </w:numPr>
      </w:pPr>
      <w:r>
        <w:t xml:space="preserve">Interface with working life through verifiable diplomas and certificates of competence.</w:t>
      </w:r>
    </w:p>
    <w:p>
      <w:pPr>
        <w:numPr>
          <w:ilvl w:val="0"/>
          <w:numId w:val="1002"/>
        </w:numPr>
      </w:pPr>
      <w:r>
        <w:t xml:space="preserve">Digital dialogue and increased involvement between kindergarten/school and the home.</w:t>
      </w:r>
    </w:p>
    <w:p>
      <w:pPr>
        <w:numPr>
          <w:ilvl w:val="0"/>
          <w:numId w:val="1002"/>
        </w:numPr>
      </w:pPr>
      <w:r>
        <w:t xml:space="preserve">Efficient procurement</w:t>
      </w:r>
    </w:p>
    <w:p>
      <w:pPr>
        <w:numPr>
          <w:ilvl w:val="0"/>
          <w:numId w:val="1002"/>
        </w:numPr>
      </w:pPr>
      <w:r>
        <w:t xml:space="preserve">Event-driven and automated reporting, e.g. reporting from municipality to state.</w:t>
      </w:r>
    </w:p>
    <w:p>
      <w:pPr>
        <w:numPr>
          <w:ilvl w:val="0"/>
          <w:numId w:val="1002"/>
        </w:numPr>
      </w:pPr>
      <w:r>
        <w:t xml:space="preserve">AI solutions based on structured, common information models, in collaboration with other AI initiatives.</w:t>
      </w:r>
    </w:p>
    <w:bookmarkEnd w:id="12"/>
    <w:bookmarkStart w:id="13" w:name="Xa6735099dce80a408e462391e5fbce9c9d40000"/>
    <w:p>
      <w:pPr>
        <w:pStyle w:val="Heading2"/>
      </w:pPr>
      <w:r>
        <w:t xml:space="preserve">Key elements of the chosen concept – the core of the project’s innovation:</w:t>
      </w:r>
    </w:p>
    <w:p>
      <w:pPr>
        <w:pStyle w:val="FirstParagraph"/>
      </w:pPr>
      <w:r>
        <w:t xml:space="preserve">The innovation in this project is not necessarily about inventing something entirely new, but primarily about combining proven technologies and previous work in data sharing and service development. We build on, among others, Digdir’s</w:t>
      </w:r>
      <w:r>
        <w:t xml:space="preserve"> </w:t>
      </w:r>
      <w:r>
        <w:rPr>
          <w:i/>
          <w:iCs/>
        </w:rPr>
        <w:t xml:space="preserve">Framework for Information Management</w:t>
      </w:r>
      <w:r>
        <w:t xml:space="preserve">,</w:t>
      </w:r>
      <w:r>
        <w:t xml:space="preserve"> </w:t>
      </w:r>
      <w:r>
        <w:rPr>
          <w:i/>
          <w:iCs/>
        </w:rPr>
        <w:t xml:space="preserve">Common Ecosystem</w:t>
      </w:r>
      <w:r>
        <w:t xml:space="preserve"> </w:t>
      </w:r>
      <w:r>
        <w:t xml:space="preserve">and</w:t>
      </w:r>
      <w:r>
        <w:t xml:space="preserve"> </w:t>
      </w:r>
      <w:r>
        <w:rPr>
          <w:i/>
          <w:iCs/>
        </w:rPr>
        <w:t xml:space="preserve">Collaboration Model for Seamless Services</w:t>
      </w:r>
      <w:r>
        <w:t xml:space="preserve">.</w:t>
      </w:r>
    </w:p>
    <w:p>
      <w:pPr>
        <w:numPr>
          <w:ilvl w:val="0"/>
          <w:numId w:val="1003"/>
        </w:numPr>
      </w:pPr>
      <w:r>
        <w:t xml:space="preserve">Technical architecture: Builds on experience from, among others, Novari’s FINT (Felles INTegrasjoner – Common Integrations), which for several years has demonstrated a concept that works in practice for county councils. The chosen concept means that new solutions and services are developed against a fixed</w:t>
      </w:r>
      <w:r>
        <w:t xml:space="preserve"> </w:t>
      </w:r>
      <w:r>
        <w:t xml:space="preserve">“middleware layer”</w:t>
      </w:r>
      <w:r>
        <w:t xml:space="preserve">, decoupled from where or how data is stored. Data is simultaneously accessed where it is stored, without the need for local copies. This provides a number of advantages, including a significant cost reduction through a reduced number of integrations and reuse of solutions. Such a middleware layer can also shield end users from having to navigate a complex and changing landscape of actors, technical services and systems.</w:t>
      </w:r>
    </w:p>
    <w:p>
      <w:pPr>
        <w:numPr>
          <w:ilvl w:val="0"/>
          <w:numId w:val="1003"/>
        </w:numPr>
      </w:pPr>
      <w:r>
        <w:t xml:space="preserve">Holistic and structured approach: The concept requires a more structured approach to the content of national catalogues for concepts, datasets, services and events than has been common practice so far. Common information models and standardised exchange formats are defined in connection with the services in a common national service catalogue – not on an ad hoc basis.</w:t>
      </w:r>
    </w:p>
    <w:p>
      <w:pPr>
        <w:numPr>
          <w:ilvl w:val="0"/>
          <w:numId w:val="1003"/>
        </w:numPr>
      </w:pPr>
      <w:r>
        <w:t xml:space="preserve">Collaboration model: The concept requires collaboration across administrative levels and sectors with clarified roles and responsibilities. Together, the partners form a core group in the chosen area of children and young people – throughout the journey from kindergarten to higher education. Actors adjacent to childcare and education, such as DigiUng and child welfare, will be involved as the project progresses, based on ongoing prioritisation of use cases and services for piloting.</w:t>
      </w:r>
    </w:p>
    <w:p>
      <w:pPr>
        <w:pStyle w:val="BlockText"/>
      </w:pPr>
      <w:r>
        <w:t xml:space="preserve">Illustration of technical architecture – significant cost reduction through a reduced number of integrations:</w:t>
      </w:r>
    </w:p>
    <w:tbl>
      <w:tblPr>
        <w:tblStyle w:val="FigureTable"/>
        <w:tblW w:type="auto" w:w="0"/>
        <w:jc w:val="center"/>
        <w:tblLook w:firstRow="0" w:lastRow="0" w:firstColumn="0" w:lastColumn="0"/>
      </w:tblPr>
      <w:tblGrid>
        <w:gridCol w:w="7920"/>
      </w:tblGrid>
      <w:tr>
        <w:tc>
          <w:tcPr/>
          <w:p>
            <w:pPr>
              <w:pStyle w:val="Compact"/>
              <w:jc w:val="center"/>
            </w:pPr>
            <w:r>
              <w:t xml:space="preserve">Et bilde som inneholder diagram, line, plan, Teknisk tegning KI-generert innhold kan være feil.</w:t>
            </w:r>
          </w:p>
        </w:tc>
      </w:tr>
    </w:tbl>
    <w:p>
      <w:pPr>
        <w:pStyle w:val="ImageCaption"/>
      </w:pPr>
      <w:r>
        <w:t xml:space="preserve">Et bilde som inneholder diagram, line, plan, Teknisk tegning KI-generert innhold kan være feil.</w:t>
      </w:r>
    </w:p>
    <w:bookmarkEnd w:id="13"/>
    <w:bookmarkStart w:id="14" w:name="goals-for-further-work"/>
    <w:p>
      <w:pPr>
        <w:pStyle w:val="Heading2"/>
      </w:pPr>
      <w:r>
        <w:t xml:space="preserve">Goals for further work:</w:t>
      </w:r>
    </w:p>
    <w:p>
      <w:pPr>
        <w:pStyle w:val="FirstParagraph"/>
      </w:pPr>
      <w:r>
        <w:t xml:space="preserve">The project’s products shall lay the groundwork for further work in other projects – both during the project period and following this project, in particular with goals related to:</w:t>
      </w:r>
    </w:p>
    <w:p>
      <w:pPr>
        <w:numPr>
          <w:ilvl w:val="0"/>
          <w:numId w:val="1004"/>
        </w:numPr>
      </w:pPr>
      <w:r>
        <w:t xml:space="preserve">Common information models and standardised interfaces that over time cover</w:t>
      </w:r>
      <w:r>
        <w:t xml:space="preserve"> </w:t>
      </w:r>
      <w:r>
        <w:t xml:space="preserve">“all”</w:t>
      </w:r>
      <w:r>
        <w:t xml:space="preserve"> </w:t>
      </w:r>
      <w:r>
        <w:t xml:space="preserve">domains and sectors.</w:t>
      </w:r>
    </w:p>
    <w:p>
      <w:pPr>
        <w:numPr>
          <w:ilvl w:val="0"/>
          <w:numId w:val="1004"/>
        </w:numPr>
      </w:pPr>
      <w:r>
        <w:t xml:space="preserve">Reusable solutions and common solutions instead of local customisation of specialist systems.</w:t>
      </w:r>
    </w:p>
    <w:p>
      <w:pPr>
        <w:numPr>
          <w:ilvl w:val="0"/>
          <w:numId w:val="1004"/>
        </w:numPr>
      </w:pPr>
      <w:r>
        <w:t xml:space="preserve">Simpler user journeys for employees, guardians, pupils and students throughout the learning journey – from kindergarten to primary school, upper secondary, and higher education.</w:t>
      </w:r>
    </w:p>
    <w:p>
      <w:pPr>
        <w:numPr>
          <w:ilvl w:val="0"/>
          <w:numId w:val="1004"/>
        </w:numPr>
      </w:pPr>
      <w:r>
        <w:t xml:space="preserve">Collaboration and innovation across public and private actors in the ecosystem, and increased competition in the market.</w:t>
      </w:r>
    </w:p>
    <w:p>
      <w:pPr>
        <w:numPr>
          <w:ilvl w:val="0"/>
          <w:numId w:val="1004"/>
        </w:numPr>
      </w:pPr>
      <w:r>
        <w:t xml:space="preserve">Long-term goals relating to lifelong learning, etc.</w:t>
      </w:r>
    </w:p>
    <w:p>
      <w:pPr>
        <w:numPr>
          <w:ilvl w:val="0"/>
          <w:numId w:val="1004"/>
        </w:numPr>
      </w:pPr>
      <w:r>
        <w:t xml:space="preserve">Scaling and transfer of the project’s products to other domains and sectors, following piloting in this project.</w:t>
      </w:r>
    </w:p>
    <w:bookmarkEnd w:id="14"/>
    <w:bookmarkStart w:id="15" w:name="critical-success-factors"/>
    <w:p>
      <w:pPr>
        <w:pStyle w:val="Heading2"/>
      </w:pPr>
      <w:r>
        <w:t xml:space="preserve">Critical success factors:</w:t>
      </w:r>
    </w:p>
    <w:p>
      <w:pPr>
        <w:pStyle w:val="FirstParagraph"/>
      </w:pPr>
      <w:r>
        <w:t xml:space="preserve">The project is ambitious, with goals of large socioeconomic benefits and scaling to domains beyond children and young people – from kindergarten to higher education.</w:t>
      </w:r>
    </w:p>
    <w:p>
      <w:pPr>
        <w:pStyle w:val="BodyText"/>
      </w:pPr>
      <w:r>
        <w:t xml:space="preserve">Experience shows that work on data sharing and seamless services is complex – there is no guarantee that a good concept will yield a good result. Critical success factors are:</w:t>
      </w:r>
    </w:p>
    <w:p>
      <w:pPr>
        <w:numPr>
          <w:ilvl w:val="0"/>
          <w:numId w:val="1005"/>
        </w:numPr>
      </w:pPr>
      <w:r>
        <w:t xml:space="preserve">Building on existing best practice and experience.</w:t>
      </w:r>
    </w:p>
    <w:p>
      <w:pPr>
        <w:numPr>
          <w:ilvl w:val="0"/>
          <w:numId w:val="1005"/>
        </w:numPr>
      </w:pPr>
      <w:r>
        <w:t xml:space="preserve">Strategic anchoring and genuine involvement – coordination and governance across administrative levels through relevant governing bodies.</w:t>
      </w:r>
    </w:p>
    <w:p>
      <w:pPr>
        <w:numPr>
          <w:ilvl w:val="0"/>
          <w:numId w:val="1005"/>
        </w:numPr>
      </w:pPr>
      <w:r>
        <w:t xml:space="preserve">Quality in the project’s products – without this, attempts at involvement and scaling will fail.</w:t>
      </w:r>
    </w:p>
    <w:p>
      <w:pPr>
        <w:numPr>
          <w:ilvl w:val="0"/>
          <w:numId w:val="1005"/>
        </w:numPr>
      </w:pPr>
      <w:r>
        <w:t xml:space="preserve">Following up on the project’s input to changes in legislation to remove legal barriers.</w:t>
      </w:r>
    </w:p>
    <w:p>
      <w:pPr>
        <w:numPr>
          <w:ilvl w:val="0"/>
          <w:numId w:val="1005"/>
        </w:numPr>
      </w:pPr>
      <w:r>
        <w:t xml:space="preserve">Holistic approach – not as a desk exercise, but through practical testing.</w:t>
      </w:r>
    </w:p>
    <w:p>
      <w:pPr>
        <w:numPr>
          <w:ilvl w:val="0"/>
          <w:numId w:val="1005"/>
        </w:numPr>
      </w:pPr>
      <w:r>
        <w:t xml:space="preserve">Practical coordination with related initiatives – avoiding unnecessary work.</w:t>
      </w:r>
    </w:p>
    <w:p>
      <w:pPr>
        <w:numPr>
          <w:ilvl w:val="0"/>
          <w:numId w:val="1005"/>
        </w:numPr>
      </w:pPr>
      <w:r>
        <w:t xml:space="preserve">Engaging the best resources – both from partners and others.</w:t>
      </w:r>
    </w:p>
    <w:p>
      <w:pPr>
        <w:numPr>
          <w:ilvl w:val="0"/>
          <w:numId w:val="1005"/>
        </w:numPr>
      </w:pPr>
      <w:r>
        <w:t xml:space="preserve">Collaboration – internally, nationally and internationally.</w:t>
      </w:r>
    </w:p>
    <w:p>
      <w:pPr>
        <w:numPr>
          <w:ilvl w:val="0"/>
          <w:numId w:val="1005"/>
        </w:numPr>
      </w:pPr>
      <w:r>
        <w:t xml:space="preserve">Ongoing knowledge sharing for competence building and dissemination.</w:t>
      </w:r>
    </w:p>
    <w:tbl>
      <w:tblPr>
        <w:tblStyle w:val="FigureTable"/>
        <w:tblW w:type="auto" w:w="0"/>
        <w:jc w:val="center"/>
        <w:tblLook w:firstRow="0" w:lastRow="0" w:firstColumn="0" w:lastColumn="0"/>
      </w:tblPr>
      <w:tblGrid>
        <w:gridCol w:w="7920"/>
      </w:tblGrid>
      <w:tr>
        <w:tc>
          <w:tcPr/>
          <w:p>
            <w:pPr>
              <w:pStyle w:val="Compact"/>
              <w:jc w:val="center"/>
            </w:pPr>
            <w:r>
              <w:t xml:space="preserve">Et bilde som inneholder klær, sko, gutt, mann KI-generert innhold kan være feil.</w:t>
            </w:r>
          </w:p>
        </w:tc>
      </w:tr>
    </w:tbl>
    <w:p>
      <w:pPr>
        <w:pStyle w:val="ImageCaption"/>
      </w:pPr>
      <w:r>
        <w:t xml:space="preserve">Et bilde som inneholder klær, sko, gutt, mann KI-generert innhold kan være feil.</w:t>
      </w:r>
    </w:p>
    <w:bookmarkEnd w:id="15"/>
    <w:bookmarkEnd w:id="16"/>
    <w:bookmarkStart w:id="17" w:name="general-information"/>
    <w:p>
      <w:pPr>
        <w:pStyle w:val="Heading1"/>
      </w:pPr>
      <w:r>
        <w:t xml:space="preserve">General Information</w:t>
      </w:r>
    </w:p>
    <w:p>
      <w:pPr>
        <w:pStyle w:val="FirstParagraph"/>
      </w:pPr>
      <w:r>
        <w:t xml:space="preserve">Project name:</w:t>
      </w:r>
      <w:r>
        <w:t xml:space="preserve"> </w:t>
      </w:r>
      <w:r>
        <w:rPr>
          <w:b/>
          <w:bCs/>
        </w:rPr>
        <w:t xml:space="preserve">A Common Lift: Seamless Services for Children and Young People</w:t>
      </w:r>
    </w:p>
    <w:p>
      <w:pPr>
        <w:pStyle w:val="BodyText"/>
      </w:pPr>
      <w:r>
        <w:t xml:space="preserve">Lead applicant: Digdir</w:t>
      </w:r>
    </w:p>
    <w:p>
      <w:pPr>
        <w:pStyle w:val="BodyText"/>
      </w:pPr>
      <w:r>
        <w:t xml:space="preserve">Project duration: 3 financial years, with start approximately Oct. 2025 (i.e. approximately 27 months)</w:t>
      </w:r>
    </w:p>
    <w:bookmarkEnd w:id="17"/>
    <w:bookmarkStart w:id="18" w:name="amount-applied-for"/>
    <w:p>
      <w:pPr>
        <w:pStyle w:val="Heading1"/>
      </w:pPr>
      <w:r>
        <w:t xml:space="preserve">Amount Applied For</w:t>
      </w:r>
    </w:p>
    <w:p>
      <w:pPr>
        <w:pStyle w:val="FirstParagraph"/>
      </w:pPr>
      <w:r>
        <w:t xml:space="preserve">Total amount applied for: Approx. 35 MNOK (exact amount to be entered in the application form).</w:t>
      </w:r>
    </w:p>
    <w:p>
      <w:pPr>
        <w:pStyle w:val="BodyText"/>
      </w:pPr>
      <w:r>
        <w:t xml:space="preserve">kapitttel</w:t>
      </w:r>
    </w:p>
    <w:bookmarkEnd w:id="18"/>
    <w:bookmarkStart w:id="19" w:name="project-cost-and-planned-financing"/>
    <w:p>
      <w:pPr>
        <w:pStyle w:val="Heading1"/>
      </w:pPr>
      <w:r>
        <w:t xml:space="preserve">Project Cost and Planned Financing</w:t>
      </w:r>
    </w:p>
    <w:p>
      <w:pPr>
        <w:pStyle w:val="FirstParagraph"/>
      </w:pPr>
      <w:r>
        <w:t xml:space="preserve">Guidance: Distribution of financing and own contributions from named external organisations/municipalities</w:t>
      </w:r>
    </w:p>
    <w:p>
      <w:pPr>
        <w:pStyle w:val="BodyText"/>
      </w:pPr>
      <w:r>
        <w:rPr>
          <w:i/>
          <w:iCs/>
        </w:rPr>
        <w:t xml:space="preserve">See the application’s Excel spreadsheet, but here is a screenshot dated 29/7-25:</w:t>
      </w:r>
    </w:p>
    <w:tbl>
      <w:tblPr>
        <w:tblStyle w:val="FigureTable"/>
        <w:tblW w:type="auto" w:w="0"/>
        <w:jc w:val="center"/>
        <w:tblLook w:firstRow="0" w:lastRow="0" w:firstColumn="0" w:lastColumn="0"/>
      </w:tblPr>
      <w:tblGrid>
        <w:gridCol w:w="7920"/>
      </w:tblGrid>
      <w:tr>
        <w:tc>
          <w:tcPr/>
          <w:p>
            <w:pPr>
              <w:pStyle w:val="Compact"/>
              <w:jc w:val="center"/>
            </w:pPr>
            <w:r>
              <w:t xml:space="preserve">Et bilde som inneholder tekst, skjermbilde, nummer, Font KI-generert innhold kan være feil.</w:t>
            </w:r>
          </w:p>
        </w:tc>
      </w:tr>
    </w:tbl>
    <w:p>
      <w:pPr>
        <w:pStyle w:val="ImageCaption"/>
      </w:pPr>
      <w:r>
        <w:t xml:space="preserve">Et bilde som inneholder tekst, skjermbilde, nummer, Font KI-generert innhold kan være feil.</w:t>
      </w:r>
    </w:p>
    <w:p>
      <w:pPr>
        <w:pStyle w:val="BodyText"/>
      </w:pPr>
      <w:r>
        <w:rPr>
          <w:i/>
          <w:iCs/>
        </w:rPr>
        <w:t xml:space="preserve">Note: All budget shares and own contributions have been confirmed through signed letters of intent or self-declarations, with expressed intention to rapidly establish binding agreements, anchored at director level. All letters of intent also indicate willingness to enter at a lower budget if necessary for allocation.</w:t>
      </w:r>
    </w:p>
    <w:bookmarkEnd w:id="19"/>
    <w:bookmarkStart w:id="26" w:name="background-and-purpose"/>
    <w:p>
      <w:pPr>
        <w:pStyle w:val="Heading1"/>
      </w:pPr>
      <w:r>
        <w:t xml:space="preserve">Background and Purpose</w:t>
      </w:r>
    </w:p>
    <w:p>
      <w:pPr>
        <w:pStyle w:val="FirstParagraph"/>
      </w:pPr>
      <w:r>
        <w:rPr>
          <w:i/>
          <w:iCs/>
        </w:rPr>
        <w:t xml:space="preserve">Instruction in the application form: Briefly describe the current and future situation and what needs the project will address. What is the purpose of the project (e.g. efficiency, quality improvement and new services)?</w:t>
      </w:r>
    </w:p>
    <w:bookmarkStart w:id="20" w:name="purpose-and-ambition-1"/>
    <w:p>
      <w:pPr>
        <w:pStyle w:val="Heading2"/>
      </w:pPr>
      <w:r>
        <w:t xml:space="preserve">Purpose and ambition:</w:t>
      </w:r>
    </w:p>
    <w:p>
      <w:pPr>
        <w:pStyle w:val="FirstParagraph"/>
      </w:pPr>
      <w:r>
        <w:rPr>
          <w:b/>
          <w:bCs/>
          <w:i/>
          <w:iCs/>
        </w:rPr>
        <w:t xml:space="preserve">The purpose is to establish a common foundation for collaboration and knowledge in data-centric service development and seamless user journeys across administrative levels and sectors, with piloting based in the area of children and young people – from kindergarten to higher education.</w:t>
      </w:r>
    </w:p>
    <w:p>
      <w:pPr>
        <w:pStyle w:val="BodyText"/>
      </w:pPr>
      <w:r>
        <w:rPr>
          <w:b/>
          <w:bCs/>
          <w:i/>
          <w:iCs/>
        </w:rPr>
        <w:t xml:space="preserve">The ambition is broad, systematic application and further development of the project’s products for all services for which the public sector is responsible.</w:t>
      </w:r>
    </w:p>
    <w:bookmarkEnd w:id="20"/>
    <w:bookmarkStart w:id="21" w:name="approach"/>
    <w:p>
      <w:pPr>
        <w:pStyle w:val="Heading2"/>
      </w:pPr>
      <w:r>
        <w:t xml:space="preserve">Approach:</w:t>
      </w:r>
    </w:p>
    <w:p>
      <w:pPr>
        <w:pStyle w:val="FirstParagraph"/>
      </w:pPr>
      <w:r>
        <w:t xml:space="preserve">The project builds on previous work and established collaboration on digitalisation, particularly within architecture and common solutions for data sharing and service development. It addresses some of the interoperability challenges that remain – across sectors and domains, with a focus on the area of children and young people – from kindergarten to higher education.</w:t>
      </w:r>
    </w:p>
    <w:bookmarkEnd w:id="21"/>
    <w:bookmarkStart w:id="22" w:name="scope"/>
    <w:p>
      <w:pPr>
        <w:pStyle w:val="Heading2"/>
      </w:pPr>
      <w:r>
        <w:t xml:space="preserve">Scope:</w:t>
      </w:r>
    </w:p>
    <w:p>
      <w:pPr>
        <w:pStyle w:val="FirstParagraph"/>
      </w:pPr>
      <w:r>
        <w:t xml:space="preserve">This project is limited to selected services and use cases in the area of children and young people – from kindergarten to higher education – an area in which KS Digital has already planned work, in connection with the establishment of a common municipal service platform. Benefit assessments in this application are made exclusively for this area, while at the same time laying the groundwork for benefits when scaling to other domains.</w:t>
      </w:r>
    </w:p>
    <w:p>
      <w:pPr>
        <w:pStyle w:val="BodyText"/>
      </w:pPr>
      <w:r>
        <w:t xml:space="preserve">The area covers everything from planning and delivery of education, support services, reporting, access management, consent and information sharing, to administrative tasks, dialogue with guardians and pupils, tests and examinations, etc.</w:t>
      </w:r>
    </w:p>
    <w:p>
      <w:pPr>
        <w:pStyle w:val="BodyText"/>
      </w:pPr>
      <w:r>
        <w:t xml:space="preserve">It is also relevant to address interfaces with other domains, such as social services, health and working life.</w:t>
      </w:r>
    </w:p>
    <w:bookmarkEnd w:id="22"/>
    <w:bookmarkStart w:id="24" w:name="X0ced33750df2cddda0746f289c23007bb557ec8"/>
    <w:p>
      <w:pPr>
        <w:pStyle w:val="Heading2"/>
      </w:pPr>
      <w:r>
        <w:t xml:space="preserve">Current situation in the area of children and young people – from kindergarten to higher education:</w:t>
      </w:r>
    </w:p>
    <w:p>
      <w:pPr>
        <w:pStyle w:val="FirstParagraph"/>
      </w:pPr>
      <w:r>
        <w:t xml:space="preserve">A root cause of the lack of cross-sector interoperability is fragmented data infrastructure, lack of coordination and insufficient reuse of data and solutions. This is reflected in the Digitalisation Strategy 2024–2030 and several of the reports referenced in this application. The Digitalisation Strategy states, among other things:</w:t>
      </w:r>
      <w:r>
        <w:t xml:space="preserve"> </w:t>
      </w:r>
      <w:r>
        <w:t xml:space="preserve">“</w:t>
      </w:r>
      <w:r>
        <w:rPr>
          <w:i/>
          <w:iCs/>
        </w:rPr>
        <w:t xml:space="preserve">Better collaboration on digitalisation across sectors and administrative levels is necessary for efficient use of resources and better services. The government will therefore strengthen its collaboration with KS on digitalisation across sectors and administrative levels.</w:t>
      </w:r>
      <w:r>
        <w:t xml:space="preserve">”</w:t>
      </w:r>
      <w:r>
        <w:t xml:space="preserve"> </w:t>
      </w:r>
      <w:r>
        <w:t xml:space="preserve">It further highlights particular challenges in the municipal sector, including variation in digital maturity, limited resources, and the need for better facilitation for municipalities to reuse national data and digital resources in their own service development – while the state must also be able to use data from municipalities.</w:t>
      </w:r>
    </w:p>
    <w:p>
      <w:pPr>
        <w:pStyle w:val="BodyText"/>
      </w:pPr>
      <w:r>
        <w:t xml:space="preserve">Data related to childcare and education – for example, data about pupils, guardians, employees, institutions, classes and subjects – is similarly often fragmented and distributed across many different specialist systems or other tools. Municipalities have, in practice, limited ability to access, share and use all the data they need – whether for services, governance or reporting.</w:t>
      </w:r>
    </w:p>
    <w:p>
      <w:pPr>
        <w:pStyle w:val="BodyText"/>
      </w:pPr>
      <w:r>
        <w:t xml:space="preserve">Much information must flow between different specialist and support systems, and there is a great need to streamline this flow. Services must also to a greater extent be made available through digital citizen interfaces such as</w:t>
      </w:r>
      <w:r>
        <w:t xml:space="preserve"> </w:t>
      </w:r>
      <w:r>
        <w:rPr>
          <w:i/>
          <w:iCs/>
        </w:rPr>
        <w:t xml:space="preserve">Min Kommune</w:t>
      </w:r>
      <w:r>
        <w:t xml:space="preserve"> </w:t>
      </w:r>
      <w:r>
        <w:t xml:space="preserve">(My Municipality). Citizens must provide the same information and give consents/authorisations multiple times and deal with a proliferation of forms, applications and information. Employees must carry out manual operations and duplicate work because systems and information flows are not connected. The causes of this are complex, and it is challenging to find solutions that address legal, organisational, semantic and technical barriers simultaneously. See also</w:t>
      </w:r>
      <w:r>
        <w:t xml:space="preserve"> </w:t>
      </w:r>
      <w:hyperlink r:id="rId23">
        <w:r>
          <w:rPr>
            <w:rStyle w:val="Hyperlink"/>
          </w:rPr>
          <w:t xml:space="preserve">Framework for digital interoperability | Digdir</w:t>
        </w:r>
      </w:hyperlink>
      <w:r>
        <w:t xml:space="preserve">.</w:t>
      </w:r>
    </w:p>
    <w:tbl>
      <w:tblPr>
        <w:tblStyle w:val="FigureTable"/>
        <w:tblW w:type="auto" w:w="0"/>
        <w:jc w:val="center"/>
        <w:tblLook w:firstRow="0" w:lastRow="0" w:firstColumn="0" w:lastColumn="0"/>
      </w:tblPr>
      <w:tblGrid>
        <w:gridCol w:w="7920"/>
      </w:tblGrid>
      <w:tr>
        <w:tc>
          <w:tcPr/>
          <w:p>
            <w:pPr>
              <w:pStyle w:val="Compact"/>
              <w:jc w:val="center"/>
            </w:pPr>
            <w:r>
              <w:t xml:space="preserve">Figur som viser de fem forskjellige typene samhandling: Juridisk, organisatorisk, semantisk, teknisk, samt styring og forvaltning.</w:t>
            </w:r>
          </w:p>
        </w:tc>
      </w:tr>
    </w:tbl>
    <w:p>
      <w:pPr>
        <w:pStyle w:val="ImageCaption"/>
      </w:pPr>
      <w:r>
        <w:t xml:space="preserve">Figur som viser de fem forskjellige typene samhandling: Juridisk, organisatorisk, semantisk, teknisk, samt styring og forvaltning.</w:t>
      </w:r>
    </w:p>
    <w:p>
      <w:pPr>
        <w:pStyle w:val="BodyText"/>
      </w:pPr>
      <w:r>
        <w:t xml:space="preserve">One of the reasons the market for digital solutions in the municipal sector is poorly coordinated is that municipalities procure independently. This results in high costs and makes it difficult to create good services.</w:t>
      </w:r>
    </w:p>
    <w:p>
      <w:pPr>
        <w:pStyle w:val="BodyText"/>
      </w:pPr>
      <w:r>
        <w:t xml:space="preserve">It is also worth noting that the financial situation in the public sector, and particularly in municipalities, is currently very tight. There is also limited access to qualified labour.</w:t>
      </w:r>
    </w:p>
    <w:bookmarkEnd w:id="24"/>
    <w:bookmarkStart w:id="25" w:name="goals-for-further-work-1"/>
    <w:p>
      <w:pPr>
        <w:pStyle w:val="Heading2"/>
      </w:pPr>
      <w:r>
        <w:t xml:space="preserve">Goals for further work:</w:t>
      </w:r>
    </w:p>
    <w:p>
      <w:pPr>
        <w:pStyle w:val="FirstParagraph"/>
      </w:pPr>
      <w:r>
        <w:t xml:space="preserve">The project’s products shall lay the groundwork for further work in other projects – both during the project period and following this project, in particular with goals related to:</w:t>
      </w:r>
    </w:p>
    <w:p>
      <w:pPr>
        <w:numPr>
          <w:ilvl w:val="0"/>
          <w:numId w:val="1006"/>
        </w:numPr>
      </w:pPr>
      <w:r>
        <w:t xml:space="preserve">Common information models and standardised interfaces that over time cover</w:t>
      </w:r>
      <w:r>
        <w:t xml:space="preserve"> </w:t>
      </w:r>
      <w:r>
        <w:t xml:space="preserve">“all”</w:t>
      </w:r>
      <w:r>
        <w:t xml:space="preserve"> </w:t>
      </w:r>
      <w:r>
        <w:t xml:space="preserve">domains.</w:t>
      </w:r>
    </w:p>
    <w:p>
      <w:pPr>
        <w:numPr>
          <w:ilvl w:val="0"/>
          <w:numId w:val="1006"/>
        </w:numPr>
      </w:pPr>
      <w:r>
        <w:t xml:space="preserve">Reusable solutions instead of local customisation of specialist systems.</w:t>
      </w:r>
    </w:p>
    <w:p>
      <w:pPr>
        <w:numPr>
          <w:ilvl w:val="0"/>
          <w:numId w:val="1006"/>
        </w:numPr>
      </w:pPr>
      <w:r>
        <w:t xml:space="preserve">Simpler user journeys for employees, guardians, pupils and students throughout the learning journey – from kindergarten to primary school / compulsory education, upper secondary, and higher education.</w:t>
      </w:r>
    </w:p>
    <w:p>
      <w:pPr>
        <w:numPr>
          <w:ilvl w:val="0"/>
          <w:numId w:val="1006"/>
        </w:numPr>
      </w:pPr>
      <w:r>
        <w:t xml:space="preserve">Collaboration, competition and innovation in ecosystems for service development and solutions across public and private providers.</w:t>
      </w:r>
    </w:p>
    <w:p>
      <w:pPr>
        <w:numPr>
          <w:ilvl w:val="0"/>
          <w:numId w:val="1006"/>
        </w:numPr>
      </w:pPr>
      <w:r>
        <w:t xml:space="preserve">Long-term goals relating to lifelong learning, etc.</w:t>
      </w:r>
    </w:p>
    <w:p>
      <w:pPr>
        <w:numPr>
          <w:ilvl w:val="0"/>
          <w:numId w:val="1006"/>
        </w:numPr>
      </w:pPr>
      <w:r>
        <w:t xml:space="preserve">Scaling and transfer of the project’s products to other domains and sectors, following piloting in this project.</w:t>
      </w:r>
    </w:p>
    <w:bookmarkEnd w:id="25"/>
    <w:bookmarkEnd w:id="26"/>
    <w:bookmarkStart w:id="39" w:name="concept-selection"/>
    <w:p>
      <w:pPr>
        <w:pStyle w:val="Heading1"/>
      </w:pPr>
      <w:r>
        <w:t xml:space="preserve">Concept Selection</w:t>
      </w:r>
    </w:p>
    <w:p>
      <w:pPr>
        <w:pStyle w:val="FirstParagraph"/>
      </w:pPr>
      <w:r>
        <w:rPr>
          <w:i/>
          <w:iCs/>
        </w:rPr>
        <w:t xml:space="preserve">Instruction in the application form: Why did you choose the relevant concept? What alternative concepts were assessed? In particular, explain how possible savings in your own organisation have been assessed. See questions 1 and 2 in the assessment instructions, chapter 2-1, for inspiration.</w:t>
      </w:r>
    </w:p>
    <w:bookmarkStart w:id="27" w:name="general"/>
    <w:p>
      <w:pPr>
        <w:pStyle w:val="Heading2"/>
      </w:pPr>
      <w:r>
        <w:t xml:space="preserve">General</w:t>
      </w:r>
      <w:r>
        <w:rPr>
          <w:u w:val="single"/>
        </w:rPr>
        <w:t xml:space="preserve">:</w:t>
      </w:r>
    </w:p>
    <w:p>
      <w:pPr>
        <w:pStyle w:val="FirstParagraph"/>
      </w:pPr>
      <w:r>
        <w:t xml:space="preserve">We have not assessed alternative concepts specifically for this application, but base ourselves primarily on a recent concept study from the municipal sector. We also refer to a collection of reports that support this choice. We will first provide a brief description of the concept and its key advantages. We then elaborate on the rationale for the choice. Finally, we explain how possible savings in Digdir’s own operations have been assessed.</w:t>
      </w:r>
    </w:p>
    <w:bookmarkEnd w:id="27"/>
    <w:bookmarkStart w:id="28" w:name="brief-description-of-the-chosen-concept"/>
    <w:p>
      <w:pPr>
        <w:pStyle w:val="Heading2"/>
      </w:pPr>
      <w:r>
        <w:t xml:space="preserve">Brief description of the chosen concept:</w:t>
      </w:r>
    </w:p>
    <w:p>
      <w:pPr>
        <w:pStyle w:val="FirstParagraph"/>
      </w:pPr>
      <w:r>
        <w:t xml:space="preserve">Some of the most important elements of the chosen concept are:</w:t>
      </w:r>
    </w:p>
    <w:p>
      <w:pPr>
        <w:numPr>
          <w:ilvl w:val="0"/>
          <w:numId w:val="1007"/>
        </w:numPr>
      </w:pPr>
      <w:r>
        <w:t xml:space="preserve">Technical architecture: The concept builds on experience from, among others, Novari’s FINT (Felles INTegrasjoner – Common Integrations), which for several years has demonstrated a concept that works in practice for county councils. The chosen concept means that new solutions and services are developed against a fixed</w:t>
      </w:r>
      <w:r>
        <w:t xml:space="preserve"> </w:t>
      </w:r>
      <w:r>
        <w:t xml:space="preserve">“middleware layer”</w:t>
      </w:r>
      <w:r>
        <w:t xml:space="preserve">, decoupled from where or how data is stored. Data is simultaneously accessed where it is stored, without the need for local copies. This provides a number of advantages, including simpler service development and significant cost reduction through a reduced number of integrations (see also below for this and several other advantages).</w:t>
      </w:r>
    </w:p>
    <w:p>
      <w:pPr>
        <w:numPr>
          <w:ilvl w:val="0"/>
          <w:numId w:val="1007"/>
        </w:numPr>
      </w:pPr>
      <w:r>
        <w:t xml:space="preserve">Holistic and structured approach: The concept requires a more structured approach to the content of national catalogues for concepts, datasets, services and events than has been common practice so far. Common information models and standardised exchange formats are defined in connection with the services in a common national service catalogue – not on an ad hoc basis.</w:t>
      </w:r>
    </w:p>
    <w:p>
      <w:pPr>
        <w:numPr>
          <w:ilvl w:val="0"/>
          <w:numId w:val="1007"/>
        </w:numPr>
      </w:pPr>
      <w:r>
        <w:t xml:space="preserve">Collaboration model: The concept requires collaboration across administrative levels and sectors with clarified roles and responsibilities. Together, the partners form a core group in the chosen area of children and young people – throughout the journey from kindergarten to higher education. Actors adjacent to childcare and education, such as those working in child welfare, will be involved as needed, if the relevant services are prioritised for piloting.</w:t>
      </w:r>
    </w:p>
    <w:p>
      <w:pPr>
        <w:pStyle w:val="FirstParagraph"/>
      </w:pPr>
      <w:r>
        <w:t xml:space="preserve">Illustration of technical architecture:</w:t>
      </w:r>
    </w:p>
    <w:tbl>
      <w:tblPr>
        <w:tblStyle w:val="FigureTable"/>
        <w:tblW w:type="auto" w:w="0"/>
        <w:jc w:val="center"/>
        <w:tblLook w:firstRow="0" w:lastRow="0" w:firstColumn="0" w:lastColumn="0"/>
      </w:tblPr>
      <w:tblGrid>
        <w:gridCol w:w="7920"/>
      </w:tblGrid>
      <w:tr>
        <w:tc>
          <w:tcPr/>
          <w:p>
            <w:pPr>
              <w:pStyle w:val="Compact"/>
              <w:jc w:val="center"/>
            </w:pPr>
            <w:r>
              <w:t xml:space="preserve">Et bilde som inneholder diagram, line, plan, Teknisk tegning KI-generert innhold kan være feil.</w:t>
            </w:r>
          </w:p>
        </w:tc>
      </w:tr>
    </w:tbl>
    <w:p>
      <w:pPr>
        <w:pStyle w:val="ImageCaption"/>
      </w:pPr>
      <w:r>
        <w:t xml:space="preserve">Et bilde som inneholder diagram, line, plan, Teknisk tegning KI-generert innhold kan være feil.</w:t>
      </w:r>
    </w:p>
    <w:bookmarkEnd w:id="28"/>
    <w:bookmarkStart w:id="29" w:name="Xffe5c1eddc0dd24785d685a83def90d109605e6"/>
    <w:p>
      <w:pPr>
        <w:pStyle w:val="Heading2"/>
      </w:pPr>
      <w:r>
        <w:t xml:space="preserve">Some key advantages of the chosen concept:</w:t>
      </w:r>
    </w:p>
    <w:p>
      <w:pPr>
        <w:numPr>
          <w:ilvl w:val="0"/>
          <w:numId w:val="1008"/>
        </w:numPr>
      </w:pPr>
      <w:r>
        <w:rPr>
          <w:b/>
          <w:bCs/>
        </w:rPr>
        <w:t xml:space="preserve">Reduced development costs</w:t>
      </w:r>
      <w:r>
        <w:t xml:space="preserve"> </w:t>
      </w:r>
      <w:r>
        <w:t xml:space="preserve">through</w:t>
      </w:r>
      <w:r>
        <w:t xml:space="preserve"> </w:t>
      </w:r>
      <w:r>
        <w:rPr>
          <w:b/>
          <w:bCs/>
        </w:rPr>
        <w:t xml:space="preserve">fewer integrations</w:t>
      </w:r>
      <w:r>
        <w:t xml:space="preserve">: Integrations are made against standardised information models and interfaces in a middleware layer, decoupled from details of how data is stored or structured internally by interoperability partners.</w:t>
      </w:r>
    </w:p>
    <w:p>
      <w:pPr>
        <w:numPr>
          <w:ilvl w:val="0"/>
          <w:numId w:val="1008"/>
        </w:numPr>
      </w:pPr>
      <w:r>
        <w:rPr>
          <w:b/>
          <w:bCs/>
        </w:rPr>
        <w:t xml:space="preserve">Reduced development costs</w:t>
      </w:r>
      <w:r>
        <w:t xml:space="preserve"> </w:t>
      </w:r>
      <w:r>
        <w:t xml:space="preserve">through</w:t>
      </w:r>
      <w:r>
        <w:t xml:space="preserve"> </w:t>
      </w:r>
      <w:r>
        <w:rPr>
          <w:b/>
          <w:bCs/>
        </w:rPr>
        <w:t xml:space="preserve">fewer end-user systems:</w:t>
      </w:r>
      <w:r>
        <w:t xml:space="preserve"> </w:t>
      </w:r>
      <w:r>
        <w:t xml:space="preserve">Reusable solutions or common solutions instead of local customisation of specialist systems. Common information models and standardised interfaces make it possible to develop shared specialist systems or components and services without regard to how data is stored locally in each municipality. Generic solutions can be adapted to local conditions at far lower cost than the alternative of having many municipalities or municipal cooperatives maintain their own solutions.</w:t>
      </w:r>
    </w:p>
    <w:p>
      <w:pPr>
        <w:numPr>
          <w:ilvl w:val="0"/>
          <w:numId w:val="1008"/>
        </w:numPr>
      </w:pPr>
      <w:r>
        <w:rPr>
          <w:b/>
          <w:bCs/>
        </w:rPr>
        <w:t xml:space="preserve">Reduced development costs</w:t>
      </w:r>
      <w:r>
        <w:t xml:space="preserve"> </w:t>
      </w:r>
      <w:r>
        <w:t xml:space="preserve">through</w:t>
      </w:r>
      <w:r>
        <w:t xml:space="preserve"> </w:t>
      </w:r>
      <w:r>
        <w:rPr>
          <w:b/>
          <w:bCs/>
        </w:rPr>
        <w:t xml:space="preserve">less need for maintenance</w:t>
      </w:r>
      <w:r>
        <w:t xml:space="preserve"> </w:t>
      </w:r>
      <w:r>
        <w:t xml:space="preserve">in end-user systems: End-user systems access data through the</w:t>
      </w:r>
      <w:r>
        <w:t xml:space="preserve"> </w:t>
      </w:r>
      <w:r>
        <w:t xml:space="preserve">“middleware layer”</w:t>
      </w:r>
      <w:r>
        <w:t xml:space="preserve"> </w:t>
      </w:r>
      <w:r>
        <w:t xml:space="preserve">without necessarily needing to be adapted when changes occur in how data is stored or represented by others.</w:t>
      </w:r>
    </w:p>
    <w:p>
      <w:pPr>
        <w:numPr>
          <w:ilvl w:val="0"/>
          <w:numId w:val="1008"/>
        </w:numPr>
      </w:pPr>
      <w:r>
        <w:rPr>
          <w:b/>
          <w:bCs/>
        </w:rPr>
        <w:t xml:space="preserve">Seamless user journeys</w:t>
      </w:r>
      <w:r>
        <w:t xml:space="preserve">: The</w:t>
      </w:r>
      <w:r>
        <w:t xml:space="preserve"> </w:t>
      </w:r>
      <w:r>
        <w:t xml:space="preserve">“middleware layer”</w:t>
      </w:r>
      <w:r>
        <w:t xml:space="preserve"> </w:t>
      </w:r>
      <w:r>
        <w:t xml:space="preserve">shields end users from having to navigate a complex and changing landscape of actors, technical services and systems.</w:t>
      </w:r>
    </w:p>
    <w:p>
      <w:pPr>
        <w:numPr>
          <w:ilvl w:val="0"/>
          <w:numId w:val="1008"/>
        </w:numPr>
      </w:pPr>
      <w:r>
        <w:rPr>
          <w:b/>
          <w:bCs/>
        </w:rPr>
        <w:t xml:space="preserve">Equal services and seamless transitions between municipalities</w:t>
      </w:r>
      <w:r>
        <w:t xml:space="preserve">: A standardised national service catalogue is envisaged, supporting the same types of services and datasets across all municipalities (with or without reuse of solutions). Note: This also has a democratic value – equivalent services regardless of where one lives.</w:t>
      </w:r>
    </w:p>
    <w:p>
      <w:pPr>
        <w:numPr>
          <w:ilvl w:val="0"/>
          <w:numId w:val="1008"/>
        </w:numPr>
      </w:pPr>
      <w:r>
        <w:rPr>
          <w:b/>
          <w:bCs/>
        </w:rPr>
        <w:t xml:space="preserve">Support for the once-only principle</w:t>
      </w:r>
      <w:r>
        <w:t xml:space="preserve">: Citizens and businesses should not have to provide the same information multiple times to the public sector. This can only be achieved through better overview of what data the public sector holds, which requires comparable data through common data models.</w:t>
      </w:r>
    </w:p>
    <w:p>
      <w:pPr>
        <w:numPr>
          <w:ilvl w:val="0"/>
          <w:numId w:val="1008"/>
        </w:numPr>
      </w:pPr>
      <w:r>
        <w:rPr>
          <w:b/>
          <w:bCs/>
        </w:rPr>
        <w:t xml:space="preserve">Avoid data lock-in</w:t>
      </w:r>
      <w:r>
        <w:t xml:space="preserve">: Services and data can be accessed via a standardised middleware layer, without being locked into proprietary solutions/specialist systems.</w:t>
      </w:r>
    </w:p>
    <w:p>
      <w:pPr>
        <w:numPr>
          <w:ilvl w:val="0"/>
          <w:numId w:val="1008"/>
        </w:numPr>
      </w:pPr>
      <w:r>
        <w:rPr>
          <w:b/>
          <w:bCs/>
        </w:rPr>
        <w:t xml:space="preserve">Healthier competitive conditions</w:t>
      </w:r>
      <w:r>
        <w:t xml:space="preserve">: More equal competition across public and private providers of solutions/common solutions: Open standards facilitate equal competition among all actors (given equal access to funding).</w:t>
      </w:r>
    </w:p>
    <w:p>
      <w:pPr>
        <w:numPr>
          <w:ilvl w:val="0"/>
          <w:numId w:val="1008"/>
        </w:numPr>
      </w:pPr>
      <w:r>
        <w:rPr>
          <w:b/>
          <w:bCs/>
        </w:rPr>
        <w:t xml:space="preserve">More efficient procurement processes</w:t>
      </w:r>
      <w:r>
        <w:t xml:space="preserve">: Open standards facilitate comparison between providers.</w:t>
      </w:r>
    </w:p>
    <w:p>
      <w:pPr>
        <w:numPr>
          <w:ilvl w:val="0"/>
          <w:numId w:val="1008"/>
        </w:numPr>
      </w:pPr>
      <w:r>
        <w:rPr>
          <w:b/>
          <w:bCs/>
        </w:rPr>
        <w:t xml:space="preserve">Better data quality</w:t>
      </w:r>
      <w:r>
        <w:t xml:space="preserve">: Less need for copying or moving data results in better data quality because data is not taken out of context.</w:t>
      </w:r>
    </w:p>
    <w:p>
      <w:pPr>
        <w:numPr>
          <w:ilvl w:val="0"/>
          <w:numId w:val="1008"/>
        </w:numPr>
      </w:pPr>
      <w:r>
        <w:rPr>
          <w:b/>
          <w:bCs/>
        </w:rPr>
        <w:t xml:space="preserve">Better information security</w:t>
      </w:r>
      <w:r>
        <w:t xml:space="preserve">: Data can to a greater extent be accessed where it is owned, resulting in fewer copies of data that need to be secured. By accessing data through standardised services and data in the</w:t>
      </w:r>
      <w:r>
        <w:t xml:space="preserve"> </w:t>
      </w:r>
      <w:r>
        <w:t xml:space="preserve">“middleware layer”</w:t>
      </w:r>
      <w:r>
        <w:t xml:space="preserve">, access management can also be configured once for all, against types of services and data, rather than many times against local data and services.</w:t>
      </w:r>
    </w:p>
    <w:p>
      <w:pPr>
        <w:numPr>
          <w:ilvl w:val="0"/>
          <w:numId w:val="1008"/>
        </w:numPr>
      </w:pPr>
      <w:r>
        <w:rPr>
          <w:b/>
          <w:bCs/>
        </w:rPr>
        <w:t xml:space="preserve">Environmental benefits</w:t>
      </w:r>
      <w:r>
        <w:t xml:space="preserve">: Reduced need to store copies of data.</w:t>
      </w:r>
    </w:p>
    <w:bookmarkEnd w:id="29"/>
    <w:bookmarkStart w:id="36" w:name="background-for-concept-selection"/>
    <w:p>
      <w:pPr>
        <w:pStyle w:val="Heading2"/>
      </w:pPr>
      <w:r>
        <w:t xml:space="preserve">Background for concept selection:</w:t>
      </w:r>
    </w:p>
    <w:p>
      <w:pPr>
        <w:pStyle w:val="FirstParagraph"/>
      </w:pPr>
      <w:r>
        <w:t xml:space="preserve">We refer primarily to the Concept Proposal for Common Municipal Data Management (Appendix 1), a recent concept study prepared by Bergen municipality together with several major cities on data sharing. This concept study came as a follow-up to the PwC report</w:t>
      </w:r>
      <w:r>
        <w:t xml:space="preserve"> </w:t>
      </w:r>
      <w:r>
        <w:t xml:space="preserve">“Sharing of Data in the Municipal Sector”</w:t>
      </w:r>
      <w:r>
        <w:t xml:space="preserve"> </w:t>
      </w:r>
      <w:r>
        <w:t xml:space="preserve">from March 2024 (Appendix 2), which identified major challenges related to fragmented data infrastructure, lack of coordination and low levels of systematic reuse of data and solutions in municipalities.</w:t>
      </w:r>
    </w:p>
    <w:p>
      <w:pPr>
        <w:pStyle w:val="BodyText"/>
      </w:pPr>
      <w:r>
        <w:t xml:space="preserve">The concept study arrived at a concept based on common information models combined with a common service catalogue, as well as common concept and metadata catalogues and associated governance models for collaboration. This concept builds on the county councils’ work with FINT (Felles INTegrasjoner – Common Integrations), which has demonstrated the value of a common, authoritative data model and standardised interfaces for county councils. The report also addresses organisational and legal considerations.</w:t>
      </w:r>
    </w:p>
    <w:p>
      <w:pPr>
        <w:pStyle w:val="BodyText"/>
      </w:pPr>
      <w:r>
        <w:t xml:space="preserve">Our project lifts this concept from the municipal sector to a national level, spanning municipalities, county councils and state agencies. The concept must therefore also be viewed in connection with Digdir’s work on data sharing, Common Ecosystem for Seamless Services, and the work on life events.</w:t>
      </w:r>
    </w:p>
    <w:p>
      <w:pPr>
        <w:pStyle w:val="BodyText"/>
      </w:pPr>
      <w:r>
        <w:t xml:space="preserve">===</w:t>
      </w:r>
    </w:p>
    <w:p>
      <w:pPr>
        <w:pStyle w:val="BodyText"/>
      </w:pPr>
      <w:r>
        <w:t xml:space="preserve">In addition to the reports from the municipal sector mentioned above, we build on assessments of alternatives that have been made in a number of other reports, such as:</w:t>
      </w:r>
    </w:p>
    <w:p>
      <w:pPr>
        <w:pStyle w:val="Compact"/>
        <w:numPr>
          <w:ilvl w:val="0"/>
          <w:numId w:val="1009"/>
        </w:numPr>
      </w:pPr>
      <w:hyperlink r:id="rId30">
        <w:r>
          <w:rPr>
            <w:rStyle w:val="Hyperlink"/>
          </w:rPr>
          <w:t xml:space="preserve">The potential benefit of a common concept for information management in the public sector (DNV GL 2014):</w:t>
        </w:r>
      </w:hyperlink>
    </w:p>
    <w:p>
      <w:pPr>
        <w:pStyle w:val="FirstParagraph"/>
      </w:pPr>
      <w:r>
        <w:t xml:space="preserve">This is an alternative analysis (equivalent to a concept study) in which the concept selection in this application largely corresponds to the recommended alternative –</w:t>
      </w:r>
      <w:r>
        <w:t xml:space="preserve"> </w:t>
      </w:r>
      <w:r>
        <w:t xml:space="preserve">“Common methods and standards for descriptions and information management, as well as common services and infrastructure”</w:t>
      </w:r>
      <w:r>
        <w:t xml:space="preserve">. Net benefit was at the time calculated at 30.4 billion NOK over 15 years (2014 figures). We consider the assessments still valid, even though it has proved difficult to fully realise the potential.</w:t>
      </w:r>
    </w:p>
    <w:p>
      <w:pPr>
        <w:pStyle w:val="Compact"/>
        <w:numPr>
          <w:ilvl w:val="0"/>
          <w:numId w:val="1010"/>
        </w:numPr>
      </w:pPr>
      <w:hyperlink r:id="rId31">
        <w:r>
          <w:rPr>
            <w:rStyle w:val="Hyperlink"/>
          </w:rPr>
          <w:t xml:space="preserve">Barriers and opportunities in the municipal sector’s work with artificial intelligence (R&amp;D 2024)</w:t>
        </w:r>
      </w:hyperlink>
      <w:r>
        <w:t xml:space="preserve">:</w:t>
      </w:r>
    </w:p>
    <w:p>
      <w:pPr>
        <w:pStyle w:val="FirstParagraph"/>
      </w:pPr>
      <w:r>
        <w:t xml:space="preserve">This R&amp;D report addresses</w:t>
      </w:r>
      <w:r>
        <w:t xml:space="preserve"> </w:t>
      </w:r>
      <w:r>
        <w:t xml:space="preserve">“Opportunities in childcare and education”</w:t>
      </w:r>
      <w:r>
        <w:t xml:space="preserve">. The chosen concept encompasses these AI opportunities – not as an alternative, but as an integrated part.</w:t>
      </w:r>
    </w:p>
    <w:p>
      <w:pPr>
        <w:pStyle w:val="Compact"/>
        <w:numPr>
          <w:ilvl w:val="0"/>
          <w:numId w:val="1011"/>
        </w:numPr>
      </w:pPr>
      <w:hyperlink r:id="rId32">
        <w:r>
          <w:rPr>
            <w:rStyle w:val="Hyperlink"/>
          </w:rPr>
          <w:t xml:space="preserve">Strategy for Digital Competence and Infrastructure in Kindergartens and Schools</w:t>
        </w:r>
      </w:hyperlink>
      <w:r>
        <w:t xml:space="preserve">:</w:t>
      </w:r>
    </w:p>
    <w:p>
      <w:pPr>
        <w:pStyle w:val="FirstParagraph"/>
      </w:pPr>
      <w:r>
        <w:t xml:space="preserve">The strategy places strong emphasis on the need for holistic coordination between the state and municipalities with regard to technology, digital competence and infrastructure.</w:t>
      </w:r>
    </w:p>
    <w:p>
      <w:pPr>
        <w:pStyle w:val="Compact"/>
        <w:numPr>
          <w:ilvl w:val="0"/>
          <w:numId w:val="1012"/>
        </w:numPr>
      </w:pPr>
      <w:hyperlink r:id="rId33">
        <w:r>
          <w:rPr>
            <w:rStyle w:val="Hyperlink"/>
          </w:rPr>
          <w:t xml:space="preserve">Data Sharing – Concept Study (Difi report 2018:7)</w:t>
        </w:r>
      </w:hyperlink>
    </w:p>
    <w:p>
      <w:pPr>
        <w:pStyle w:val="FirstParagraph"/>
      </w:pPr>
      <w:r>
        <w:t xml:space="preserve">This study assesses several alternative concepts for data sharing in the public sector. The chosen concept in this application is in line with the recommendation for a common ecosystem with standardisation, access management and common components.</w:t>
      </w:r>
    </w:p>
    <w:p>
      <w:pPr>
        <w:pStyle w:val="Compact"/>
        <w:numPr>
          <w:ilvl w:val="0"/>
          <w:numId w:val="1013"/>
        </w:numPr>
      </w:pPr>
      <w:hyperlink r:id="rId34">
        <w:r>
          <w:rPr>
            <w:rStyle w:val="Hyperlink"/>
          </w:rPr>
          <w:t xml:space="preserve">White Paper No. 22 (2020–2021)</w:t>
        </w:r>
        <w:r>
          <w:rPr>
            <w:rStyle w:val="Hyperlink"/>
          </w:rPr>
          <w:t xml:space="preserve"> </w:t>
        </w:r>
        <w:r>
          <w:rPr>
            <w:rStyle w:val="Hyperlink"/>
            <w:i/>
            <w:iCs/>
          </w:rPr>
          <w:t xml:space="preserve">“Data as a resource – data-driven economy and innovation”</w:t>
        </w:r>
      </w:hyperlink>
      <w:r>
        <w:t xml:space="preserve">.</w:t>
      </w:r>
    </w:p>
    <w:p>
      <w:pPr>
        <w:pStyle w:val="FirstParagraph"/>
      </w:pPr>
      <w:r>
        <w:t xml:space="preserve">The white paper highlights the need for coordination, common solutions and increased data flow in the public sector. The concept in the application operationalises several of the measures highlighted here.</w:t>
      </w:r>
    </w:p>
    <w:p>
      <w:pPr>
        <w:pStyle w:val="Compact"/>
        <w:numPr>
          <w:ilvl w:val="0"/>
          <w:numId w:val="1014"/>
        </w:numPr>
      </w:pPr>
      <w:hyperlink r:id="rId35">
        <w:r>
          <w:rPr>
            <w:rStyle w:val="Hyperlink"/>
          </w:rPr>
          <w:t xml:space="preserve">NOU 2024:14 –</w:t>
        </w:r>
        <w:r>
          <w:rPr>
            <w:rStyle w:val="Hyperlink"/>
          </w:rPr>
          <w:t xml:space="preserve"> </w:t>
        </w:r>
        <w:r>
          <w:rPr>
            <w:rStyle w:val="Hyperlink"/>
            <w:i/>
            <w:iCs/>
          </w:rPr>
          <w:t xml:space="preserve">Data shall be shared by law</w:t>
        </w:r>
      </w:hyperlink>
    </w:p>
    <w:p>
      <w:pPr>
        <w:pStyle w:val="FirstParagraph"/>
      </w:pPr>
      <w:r>
        <w:t xml:space="preserve">Clear recommendations to establish</w:t>
      </w:r>
      <w:r>
        <w:t xml:space="preserve"> </w:t>
      </w:r>
      <w:r>
        <w:rPr>
          <w:i/>
          <w:iCs/>
        </w:rPr>
        <w:t xml:space="preserve">legal and organisational frameworks</w:t>
      </w:r>
      <w:r>
        <w:t xml:space="preserve"> </w:t>
      </w:r>
      <w:r>
        <w:t xml:space="preserve">that promote</w:t>
      </w:r>
      <w:r>
        <w:t xml:space="preserve"> </w:t>
      </w:r>
      <w:r>
        <w:rPr>
          <w:i/>
          <w:iCs/>
        </w:rPr>
        <w:t xml:space="preserve">access to and reuse of data across administrative levels, standardisation of metadata and information models, and clear governance structures for sharing.</w:t>
      </w:r>
    </w:p>
    <w:bookmarkEnd w:id="36"/>
    <w:bookmarkStart w:id="37" w:name="on-comparison-with-the-zero-alternative"/>
    <w:p>
      <w:pPr>
        <w:pStyle w:val="Heading2"/>
      </w:pPr>
      <w:r>
        <w:t xml:space="preserve">On comparison with the zero alternative:</w:t>
      </w:r>
    </w:p>
    <w:p>
      <w:pPr>
        <w:pStyle w:val="FirstParagraph"/>
      </w:pPr>
      <w:r>
        <w:t xml:space="preserve">An overarching consideration is that the current situation must change, where individual municipalities, various regional cooperatives, county councils and state agencies each develop and maintain their own information models, catalogues and integrations, without support from authoritative models. This has proved costly over time, poorly scalable, and creates barriers to innovation, interoperability and a well-functioning supplier market.</w:t>
      </w:r>
    </w:p>
    <w:p>
      <w:pPr>
        <w:pStyle w:val="BodyText"/>
      </w:pPr>
      <w:r>
        <w:t xml:space="preserve">In our comparisons with the zero alternative, we in any case assume that continued development is expected even without the measure, such as:</w:t>
      </w:r>
    </w:p>
    <w:p>
      <w:pPr>
        <w:numPr>
          <w:ilvl w:val="0"/>
          <w:numId w:val="1015"/>
        </w:numPr>
      </w:pPr>
      <w:r>
        <w:t xml:space="preserve">Gradual increased use of AI and automation in teaching and administration.</w:t>
      </w:r>
    </w:p>
    <w:p>
      <w:pPr>
        <w:numPr>
          <w:ilvl w:val="0"/>
          <w:numId w:val="1015"/>
        </w:numPr>
      </w:pPr>
      <w:r>
        <w:t xml:space="preserve">Further development of national common solutions and new data sharing services as a result of EU and national regulations.</w:t>
      </w:r>
    </w:p>
    <w:p>
      <w:pPr>
        <w:numPr>
          <w:ilvl w:val="0"/>
          <w:numId w:val="1015"/>
        </w:numPr>
      </w:pPr>
      <w:r>
        <w:t xml:space="preserve">Some time savings and quality improvements through upgrades to existing systems.</w:t>
      </w:r>
    </w:p>
    <w:p>
      <w:pPr>
        <w:pStyle w:val="FirstParagraph"/>
      </w:pPr>
      <w:r>
        <w:t xml:space="preserve">In the zero alternative, however, development occurs in a fragmented and uneven manner, without common data models and standardised integrations. Benefits from data sharing and holistic services are only partially realised.</w:t>
      </w:r>
    </w:p>
    <w:p>
      <w:pPr>
        <w:pStyle w:val="BodyText"/>
      </w:pPr>
      <w:r>
        <w:t xml:space="preserve">For the benefit calculations, it has therefore been assumed that 30–50% of expected benefits will also be realised in the zero alternative.</w:t>
      </w:r>
    </w:p>
    <w:bookmarkEnd w:id="37"/>
    <w:bookmarkStart w:id="38" w:name="Xdfa8ab49487b9c6d85440d0aeb3f9bc042dba7e"/>
    <w:p>
      <w:pPr>
        <w:pStyle w:val="Heading2"/>
      </w:pPr>
      <w:r>
        <w:t xml:space="preserve">Assessment of whether the project results in savings in Digdir’s own operations:</w:t>
      </w:r>
    </w:p>
    <w:p>
      <w:pPr>
        <w:pStyle w:val="FirstParagraph"/>
      </w:pPr>
      <w:r>
        <w:t xml:space="preserve">Digdir is a non-profit government agency whose goal is not to generate profit or realise savings in its own operations. The directorate’s role is to develop, manage and make available common solutions and standards that will generate socioeconomic benefits and efficiency in other parts of the public sector – particularly through collaboration across agencies and administrative levels.</w:t>
      </w:r>
    </w:p>
    <w:p>
      <w:pPr>
        <w:pStyle w:val="BodyText"/>
      </w:pPr>
      <w:r>
        <w:t xml:space="preserve">Any operating surpluses from Digdir’s management of common solutions, such as Altinn, are returned to the service owners and used for further development and improvement of the solutions in accordance with the principle of cost neutrality. It is therefore neither expected nor appropriate to calculate internal organisational benefits or budget cuts at Digdir as a result of the project.</w:t>
      </w:r>
    </w:p>
    <w:p>
      <w:pPr>
        <w:pStyle w:val="BodyText"/>
      </w:pPr>
      <w:r>
        <w:t xml:space="preserve">Funding from the co-financing scheme will contribute to a higher level of ambition and to measures that would not otherwise be implemented at this time, in line with Digdir’s public mandate to facilitate efficient, user-centred and coordinated digitalisation of the public sector. The socioeconomic benefits are primarily expected to be realised in the municipal sector.</w:t>
      </w:r>
    </w:p>
    <w:p>
      <w:pPr>
        <w:pStyle w:val="BodyText"/>
      </w:pPr>
      <w:r>
        <w:rPr>
          <w:i/>
          <w:iCs/>
        </w:rPr>
        <w:t xml:space="preserve">Note: The same argument applies to collaborating state agencies, such as STAF, HK-dir, Udir, Sikt and SSB.</w:t>
      </w:r>
    </w:p>
    <w:bookmarkEnd w:id="38"/>
    <w:bookmarkEnd w:id="39"/>
    <w:bookmarkStart w:id="40" w:name="digitalisation-strategy"/>
    <w:p>
      <w:pPr>
        <w:pStyle w:val="Heading1"/>
      </w:pPr>
      <w:r>
        <w:t xml:space="preserve">Digitalisation Strategy</w:t>
      </w:r>
    </w:p>
    <w:p>
      <w:pPr>
        <w:pStyle w:val="FirstParagraph"/>
      </w:pPr>
      <w:r>
        <w:rPr>
          <w:i/>
          <w:iCs/>
        </w:rPr>
        <w:t xml:space="preserve">Brief description of how the project supports the government’s National Digitalisation Strategy 2024–2030: Norway’s Digital Future</w:t>
      </w:r>
    </w:p>
    <w:p>
      <w:pPr>
        <w:pStyle w:val="BodyText"/>
      </w:pPr>
      <w:r>
        <w:t xml:space="preserve">The project supports the strategy by:</w:t>
      </w:r>
    </w:p>
    <w:p>
      <w:pPr>
        <w:numPr>
          <w:ilvl w:val="0"/>
          <w:numId w:val="1016"/>
        </w:numPr>
      </w:pPr>
      <w:r>
        <w:t xml:space="preserve">Laying the foundation for the goal that Norway by 2030 shall be a</w:t>
      </w:r>
      <w:r>
        <w:t xml:space="preserve"> </w:t>
      </w:r>
      <w:r>
        <w:rPr>
          <w:b/>
          <w:bCs/>
        </w:rPr>
        <w:t xml:space="preserve">leader in value creation with data and in data-driven research and innovation</w:t>
      </w:r>
      <w:r>
        <w:t xml:space="preserve">.</w:t>
      </w:r>
    </w:p>
    <w:p>
      <w:pPr>
        <w:numPr>
          <w:ilvl w:val="0"/>
          <w:numId w:val="1016"/>
        </w:numPr>
      </w:pPr>
      <w:r>
        <w:t xml:space="preserve">Operationalising the principles of</w:t>
      </w:r>
      <w:r>
        <w:t xml:space="preserve"> </w:t>
      </w:r>
      <w:r>
        <w:rPr>
          <w:b/>
          <w:bCs/>
        </w:rPr>
        <w:t xml:space="preserve">increased data sharing</w:t>
      </w:r>
      <w:r>
        <w:t xml:space="preserve"> </w:t>
      </w:r>
      <w:r>
        <w:t xml:space="preserve">and</w:t>
      </w:r>
      <w:r>
        <w:t xml:space="preserve"> </w:t>
      </w:r>
      <w:r>
        <w:rPr>
          <w:b/>
          <w:bCs/>
        </w:rPr>
        <w:t xml:space="preserve">better coordination</w:t>
      </w:r>
      <w:r>
        <w:t xml:space="preserve"> </w:t>
      </w:r>
      <w:r>
        <w:t xml:space="preserve">across administrative levels.</w:t>
      </w:r>
    </w:p>
    <w:p>
      <w:pPr>
        <w:numPr>
          <w:ilvl w:val="0"/>
          <w:numId w:val="1016"/>
        </w:numPr>
      </w:pPr>
      <w:r>
        <w:t xml:space="preserve">Contributing to</w:t>
      </w:r>
      <w:r>
        <w:t xml:space="preserve"> </w:t>
      </w:r>
      <w:r>
        <w:rPr>
          <w:b/>
          <w:bCs/>
        </w:rPr>
        <w:t xml:space="preserve">seamless and user-friendly services</w:t>
      </w:r>
      <w:r>
        <w:t xml:space="preserve">, here particularly in the area of children and young people – from kindergarten to higher education.</w:t>
      </w:r>
    </w:p>
    <w:p>
      <w:pPr>
        <w:numPr>
          <w:ilvl w:val="0"/>
          <w:numId w:val="1016"/>
        </w:numPr>
      </w:pPr>
      <w:r>
        <w:t xml:space="preserve">Establishing and managing</w:t>
      </w:r>
      <w:r>
        <w:t xml:space="preserve"> </w:t>
      </w:r>
      <w:r>
        <w:rPr>
          <w:b/>
          <w:bCs/>
        </w:rPr>
        <w:t xml:space="preserve">common information models and data catalogues</w:t>
      </w:r>
      <w:r>
        <w:t xml:space="preserve"> </w:t>
      </w:r>
      <w:r>
        <w:t xml:space="preserve">– the basis for better data quality, reuse and automation.</w:t>
      </w:r>
    </w:p>
    <w:p>
      <w:pPr>
        <w:numPr>
          <w:ilvl w:val="0"/>
          <w:numId w:val="1016"/>
        </w:numPr>
      </w:pPr>
      <w:r>
        <w:t xml:space="preserve">Facilitating</w:t>
      </w:r>
      <w:r>
        <w:t xml:space="preserve"> </w:t>
      </w:r>
      <w:r>
        <w:rPr>
          <w:b/>
          <w:bCs/>
        </w:rPr>
        <w:t xml:space="preserve">artificial intelligence and advanced analysis</w:t>
      </w:r>
      <w:r>
        <w:t xml:space="preserve"> </w:t>
      </w:r>
      <w:r>
        <w:t xml:space="preserve">through access to structured, standardised data.</w:t>
      </w:r>
    </w:p>
    <w:p>
      <w:pPr>
        <w:numPr>
          <w:ilvl w:val="0"/>
          <w:numId w:val="1016"/>
        </w:numPr>
      </w:pPr>
      <w:r>
        <w:t xml:space="preserve">Supporting</w:t>
      </w:r>
      <w:r>
        <w:t xml:space="preserve"> </w:t>
      </w:r>
      <w:r>
        <w:rPr>
          <w:b/>
          <w:bCs/>
        </w:rPr>
        <w:t xml:space="preserve">digital inclusion</w:t>
      </w:r>
      <w:r>
        <w:t xml:space="preserve"> </w:t>
      </w:r>
      <w:r>
        <w:t xml:space="preserve">by simplifying transitions in the education journey and reducing inequality in user experience.</w:t>
      </w:r>
    </w:p>
    <w:p>
      <w:pPr>
        <w:numPr>
          <w:ilvl w:val="0"/>
          <w:numId w:val="1016"/>
        </w:numPr>
      </w:pPr>
      <w:r>
        <w:t xml:space="preserve">Adapting to and contributing to</w:t>
      </w:r>
      <w:r>
        <w:t xml:space="preserve"> </w:t>
      </w:r>
      <w:r>
        <w:rPr>
          <w:b/>
          <w:bCs/>
        </w:rPr>
        <w:t xml:space="preserve">cross-border digital services</w:t>
      </w:r>
      <w:r>
        <w:t xml:space="preserve"> </w:t>
      </w:r>
      <w:r>
        <w:t xml:space="preserve">in line with EU regulations (SDGR, OOTS, EUDI Wallet).</w:t>
      </w:r>
    </w:p>
    <w:p>
      <w:pPr>
        <w:numPr>
          <w:ilvl w:val="0"/>
          <w:numId w:val="1016"/>
        </w:numPr>
      </w:pPr>
      <w:r>
        <w:t xml:space="preserve">Laying the groundwork for Norwegian participation in</w:t>
      </w:r>
      <w:r>
        <w:t xml:space="preserve"> </w:t>
      </w:r>
      <w:r>
        <w:rPr>
          <w:b/>
          <w:bCs/>
        </w:rPr>
        <w:t xml:space="preserve">European data spaces</w:t>
      </w:r>
      <w:r>
        <w:t xml:space="preserve">, particularly the Skills Data Space.</w:t>
      </w:r>
    </w:p>
    <w:p>
      <w:pPr>
        <w:numPr>
          <w:ilvl w:val="0"/>
          <w:numId w:val="1016"/>
        </w:numPr>
      </w:pPr>
      <w:r>
        <w:t xml:space="preserve">Realising the principle of</w:t>
      </w:r>
      <w:r>
        <w:t xml:space="preserve"> </w:t>
      </w:r>
      <w:r>
        <w:rPr>
          <w:b/>
          <w:bCs/>
        </w:rPr>
        <w:t xml:space="preserve">once only</w:t>
      </w:r>
      <w:r>
        <w:t xml:space="preserve"> </w:t>
      </w:r>
      <w:r>
        <w:t xml:space="preserve">– users do not have to provide the same information in multiple places within the public administration.</w:t>
      </w:r>
    </w:p>
    <w:bookmarkEnd w:id="40"/>
    <w:bookmarkStart w:id="41" w:name="Xedfabbd7c99ad6ea4afacc77a1b27c721af8c6d"/>
    <w:p>
      <w:pPr>
        <w:pStyle w:val="Heading1"/>
      </w:pPr>
      <w:r>
        <w:t xml:space="preserve">Compliance with the Digitalisation Circular</w:t>
      </w:r>
    </w:p>
    <w:p>
      <w:pPr>
        <w:pStyle w:val="FirstParagraph"/>
      </w:pPr>
      <w:r>
        <w:rPr>
          <w:i/>
          <w:iCs/>
        </w:rPr>
        <w:t xml:space="preserve">Brief description of how the project will relate to relevant requirements and recommendations in the digitalisation circular.</w:t>
      </w:r>
    </w:p>
    <w:tbl>
      <w:tblPr>
        <w:tblStyle w:val="Table"/>
        <w:tblW w:type="pct" w:w="4987"/>
        <w:tblLayout w:type="fixed"/>
        <w:tblLook w:firstRow="1" w:lastRow="0" w:firstColumn="0" w:lastColumn="0" w:noHBand="0" w:noVBand="0" w:val="0020"/>
      </w:tblPr>
      <w:tblGrid>
        <w:gridCol w:w="1531"/>
        <w:gridCol w:w="6367"/>
      </w:tblGrid>
      <w:tr>
        <w:trPr>
          <w:tblHeader w:val="on"/>
        </w:trPr>
        <w:tc>
          <w:tcPr/>
          <w:p>
            <w:pPr>
              <w:pStyle w:val="Compact"/>
              <w:jc w:val="left"/>
            </w:pPr>
            <w:r>
              <w:t xml:space="preserve">Places the user at the centre of service development</w:t>
            </w:r>
          </w:p>
        </w:tc>
        <w:tc>
          <w:tcPr/>
          <w:p>
            <w:pPr>
              <w:pStyle w:val="Compact"/>
              <w:jc w:val="center"/>
            </w:pPr>
            <w:r>
              <w:t xml:space="preserve">This is a core concern for the project, which is about facilitating seamless services with the user at the centre, across administrative levels and sectors.</w:t>
            </w:r>
          </w:p>
        </w:tc>
      </w:tr>
      <w:tr>
        <w:tc>
          <w:tcPr/>
          <w:p>
            <w:pPr>
              <w:pStyle w:val="Compact"/>
              <w:jc w:val="left"/>
            </w:pPr>
            <w:r>
              <w:t xml:space="preserve">Facilitates reuse and secondary use of information</w:t>
            </w:r>
          </w:p>
        </w:tc>
        <w:tc>
          <w:tcPr/>
          <w:p>
            <w:pPr>
              <w:pStyle w:val="Compact"/>
              <w:jc w:val="center"/>
            </w:pPr>
            <w:r>
              <w:t xml:space="preserve">This is a core concern for the project – which will produce updated best practice for information management and information architecture across administrative levels and sectors.</w:t>
            </w:r>
          </w:p>
        </w:tc>
      </w:tr>
      <w:tr>
        <w:tc>
          <w:tcPr/>
          <w:p>
            <w:pPr>
              <w:pStyle w:val="Compact"/>
              <w:jc w:val="left"/>
            </w:pPr>
            <w:r>
              <w:t xml:space="preserve">Uses artificial intelligence</w:t>
            </w:r>
          </w:p>
        </w:tc>
        <w:tc>
          <w:tcPr/>
          <w:p>
            <w:pPr>
              <w:pStyle w:val="Compact"/>
              <w:jc w:val="center"/>
            </w:pPr>
            <w:r>
              <w:t xml:space="preserve">From an AI perspective, the project is primarily about creating structured data of high quality as a foundation for good AI solutions. The project will also demonstrate how this can be done in practice.</w:t>
            </w:r>
          </w:p>
        </w:tc>
      </w:tr>
      <w:tr>
        <w:tc>
          <w:tcPr/>
          <w:p>
            <w:pPr>
              <w:pStyle w:val="Compact"/>
              <w:jc w:val="left"/>
            </w:pPr>
            <w:r>
              <w:t xml:space="preserve">Builds in archiving functions</w:t>
            </w:r>
          </w:p>
        </w:tc>
        <w:tc>
          <w:tcPr/>
          <w:p>
            <w:pPr>
              <w:pStyle w:val="Compact"/>
              <w:jc w:val="center"/>
            </w:pPr>
            <w:r>
              <w:t xml:space="preserve">The project is assumed to facilitate further work on built-in archiving by introducing requirements for data virtualisation and distributed storage, so as to avoid creating copies of data or moving data out of context for archiving purposes.</w:t>
            </w:r>
          </w:p>
        </w:tc>
      </w:tr>
      <w:tr>
        <w:tc>
          <w:tcPr/>
          <w:p>
            <w:pPr>
              <w:pStyle w:val="Compact"/>
              <w:jc w:val="left"/>
            </w:pPr>
            <w:r>
              <w:t xml:space="preserve">Follows up on information security</w:t>
            </w:r>
          </w:p>
        </w:tc>
        <w:tc>
          <w:tcPr/>
          <w:p>
            <w:pPr>
              <w:pStyle w:val="Compact"/>
              <w:jc w:val="center"/>
            </w:pPr>
            <w:r>
              <w:t xml:space="preserve">The chosen concept will contribute to less copying of data, with less need to secure data that may be at risk. Metadata descriptions of datasets, services and other resources also provide the basis for security classification in line with current guidelines.</w:t>
            </w:r>
          </w:p>
        </w:tc>
      </w:tr>
      <w:tr>
        <w:tc>
          <w:tcPr/>
          <w:p>
            <w:pPr>
              <w:pStyle w:val="Compact"/>
              <w:jc w:val="left"/>
            </w:pPr>
            <w:r>
              <w:t xml:space="preserve">Builds in privacy</w:t>
            </w:r>
          </w:p>
        </w:tc>
        <w:tc>
          <w:tcPr/>
          <w:p>
            <w:pPr>
              <w:pStyle w:val="Compact"/>
              <w:jc w:val="center"/>
            </w:pPr>
            <w:r>
              <w:t xml:space="preserve">Assessment of privacy shall be carried out at all stages of the project, and shall be taken into account in the development of services and solutions.</w:t>
            </w:r>
          </w:p>
        </w:tc>
      </w:tr>
      <w:tr>
        <w:tc>
          <w:tcPr/>
          <w:p>
            <w:pPr>
              <w:pStyle w:val="Compact"/>
              <w:jc w:val="left"/>
            </w:pPr>
            <w:r>
              <w:t xml:space="preserve">Privacy in the use of social media for communication with citizens</w:t>
            </w:r>
          </w:p>
        </w:tc>
        <w:tc>
          <w:tcPr/>
          <w:p>
            <w:pPr>
              <w:pStyle w:val="Compact"/>
              <w:jc w:val="center"/>
            </w:pPr>
            <w:r>
              <w:t xml:space="preserve">The project has not yet planned communication via social media. Current requirements must as a minimum be met in selected pilots if this becomes relevant, but it is currently unclear whether this will be relevant.</w:t>
            </w:r>
          </w:p>
        </w:tc>
      </w:tr>
      <w:tr>
        <w:tc>
          <w:tcPr/>
          <w:p>
            <w:pPr>
              <w:pStyle w:val="Compact"/>
              <w:jc w:val="left"/>
            </w:pPr>
            <w:r>
              <w:t xml:space="preserve">Privacy in the use of web-based analytics tools</w:t>
            </w:r>
          </w:p>
        </w:tc>
        <w:tc>
          <w:tcPr/>
          <w:p>
            <w:pPr>
              <w:pStyle w:val="Compact"/>
              <w:jc w:val="center"/>
            </w:pPr>
            <w:r>
              <w:t xml:space="preserve">Current requirements must as a minimum be met in selected pilots, but it is currently unclear whether this will be relevant.</w:t>
            </w:r>
          </w:p>
        </w:tc>
      </w:tr>
      <w:tr>
        <w:tc>
          <w:tcPr/>
          <w:p>
            <w:pPr>
              <w:pStyle w:val="Compact"/>
              <w:jc w:val="left"/>
            </w:pPr>
            <w:r>
              <w:t xml:space="preserve">Uses national common components and solutions (If you are not using national common components and/or common solutions, this must be explained.)</w:t>
            </w:r>
          </w:p>
        </w:tc>
        <w:tc>
          <w:tcPr/>
          <w:p>
            <w:pPr>
              <w:pStyle w:val="Compact"/>
              <w:jc w:val="center"/>
            </w:pPr>
            <w:r>
              <w:t xml:space="preserve">Yes, this project will use most national common components and solutions. Specifically mentioned are the catalogue solutions in data.norge.no, the service development platform Altinn Studio, the KS Fiks platform and the county councils’ FINT (Felles INTegrasjoner – Common Integrations). The project will also actively contribute to improving common solutions based on the needs of this project.</w:t>
            </w:r>
          </w:p>
        </w:tc>
      </w:tr>
      <w:tr>
        <w:tc>
          <w:tcPr/>
          <w:p>
            <w:pPr>
              <w:pStyle w:val="Compact"/>
              <w:jc w:val="left"/>
            </w:pPr>
            <w:r>
              <w:t xml:space="preserve">Uses digital postal box for citizens</w:t>
            </w:r>
          </w:p>
        </w:tc>
        <w:tc>
          <w:tcPr/>
          <w:p>
            <w:pPr>
              <w:pStyle w:val="Compact"/>
              <w:jc w:val="center"/>
            </w:pPr>
            <w:r>
              <w:t xml:space="preserve">The current DPI solution will be used in selected pilots to the extent it remains a relevant requirement during the project period.</w:t>
            </w:r>
          </w:p>
        </w:tc>
      </w:tr>
      <w:tr>
        <w:tc>
          <w:tcPr/>
          <w:p>
            <w:pPr>
              <w:pStyle w:val="Compact"/>
              <w:jc w:val="left"/>
            </w:pPr>
            <w:r>
              <w:t xml:space="preserve">Complies with requirements for architecture and standards</w:t>
            </w:r>
          </w:p>
        </w:tc>
        <w:tc>
          <w:tcPr/>
          <w:p>
            <w:pPr>
              <w:pStyle w:val="Compact"/>
              <w:jc w:val="center"/>
            </w:pPr>
            <w:r>
              <w:t xml:space="preserve">All relevant requirements for architecture and standards in the Digitalisation Circular will be followed, unless there are good reasons to document the need for exceptions from certain requirements. The project may also seek to bring about changes to the Digitalisation Circular during the project period if deemed important.</w:t>
            </w:r>
          </w:p>
        </w:tc>
      </w:tr>
      <w:tr>
        <w:tc>
          <w:tcPr/>
          <w:p>
            <w:pPr>
              <w:pStyle w:val="Compact"/>
              <w:jc w:val="left"/>
            </w:pPr>
            <w:r>
              <w:t xml:space="preserve">Cross-border services</w:t>
            </w:r>
          </w:p>
        </w:tc>
        <w:tc>
          <w:tcPr/>
          <w:p>
            <w:pPr>
              <w:pStyle w:val="Compact"/>
              <w:jc w:val="center"/>
            </w:pPr>
            <w:r>
              <w:t xml:space="preserve">Solutions for cross-border services will, as far as practically possible, be built on relevant international standards and EU requirements. National common components and services will also, as far as practical, be developed in step with the development of the EU’s digital infrastructure implemented through the EU DIGITAL programme, in which Norway participates. Currently this particularly concerns support for the architecture and solutions for the EU’s Single Digital Gateway Regulation (SDGR) and EU Data Spaces. In connection with children and young people – from kindergarten to higher education, the pan-European Skills Data Space is particularly relevant.</w:t>
            </w:r>
          </w:p>
        </w:tc>
      </w:tr>
      <w:tr>
        <w:tc>
          <w:tcPr/>
          <w:p>
            <w:pPr>
              <w:pStyle w:val="Compact"/>
              <w:jc w:val="left"/>
            </w:pPr>
            <w:r>
              <w:t xml:space="preserve">Uses digital procurement process</w:t>
            </w:r>
          </w:p>
        </w:tc>
        <w:tc>
          <w:tcPr/>
          <w:p>
            <w:pPr>
              <w:pStyle w:val="Compact"/>
              <w:jc w:val="center"/>
            </w:pPr>
            <w:r>
              <w:t xml:space="preserve">For any procurements within the project, current requirements and guidelines will be followed.</w:t>
            </w:r>
          </w:p>
        </w:tc>
      </w:tr>
      <w:tr>
        <w:tc>
          <w:tcPr/>
          <w:p>
            <w:pPr>
              <w:pStyle w:val="Compact"/>
              <w:jc w:val="left"/>
            </w:pPr>
            <w:r>
              <w:t xml:space="preserve">Develops a sourcing strategy</w:t>
            </w:r>
          </w:p>
        </w:tc>
        <w:tc>
          <w:tcPr/>
          <w:p>
            <w:pPr>
              <w:pStyle w:val="Compact"/>
              <w:jc w:val="center"/>
            </w:pPr>
            <w:r>
              <w:t xml:space="preserve">Both Digdir as lead applicant and other project participants are assumed to follow their own sourcing strategy. In addition, this project will, through standardised requirements and common information models, be able to clarify roles and responsibilities more clearly and facilitate a better-functioning market for private providers.</w:t>
            </w:r>
          </w:p>
        </w:tc>
      </w:tr>
      <w:tr>
        <w:tc>
          <w:tcPr/>
          <w:p>
            <w:pPr>
              <w:pStyle w:val="Compact"/>
              <w:jc w:val="left"/>
            </w:pPr>
            <w:r>
              <w:t xml:space="preserve">Selects cloud services</w:t>
            </w:r>
          </w:p>
        </w:tc>
        <w:tc>
          <w:tcPr/>
          <w:p>
            <w:pPr>
              <w:pStyle w:val="Compact"/>
              <w:jc w:val="center"/>
            </w:pPr>
            <w:r>
              <w:t xml:space="preserve">Cloud services will be assessed against other solutions in accordance with the Digitalisation Circular.</w:t>
            </w:r>
          </w:p>
        </w:tc>
      </w:tr>
      <w:tr>
        <w:tc>
          <w:tcPr/>
          <w:p>
            <w:pPr>
              <w:pStyle w:val="Compact"/>
              <w:jc w:val="left"/>
            </w:pPr>
            <w:r>
              <w:t xml:space="preserve">Ensures digital inclusion</w:t>
            </w:r>
          </w:p>
        </w:tc>
        <w:tc>
          <w:tcPr/>
          <w:p>
            <w:pPr>
              <w:pStyle w:val="Compact"/>
              <w:jc w:val="center"/>
            </w:pPr>
            <w:r>
              <w:t xml:space="preserve">Current requirements will as a minimum be met in selected pilots. The project will also facilitate further improvements in this area through better structured information.</w:t>
            </w:r>
          </w:p>
        </w:tc>
      </w:tr>
    </w:tbl>
    <w:bookmarkEnd w:id="41"/>
    <w:bookmarkStart w:id="42" w:name="project-products-1"/>
    <w:p>
      <w:pPr>
        <w:pStyle w:val="Heading1"/>
      </w:pPr>
      <w:r>
        <w:t xml:space="preserve">Project Products</w:t>
      </w:r>
    </w:p>
    <w:p>
      <w:pPr>
        <w:pStyle w:val="FirstParagraph"/>
      </w:pPr>
      <w:r>
        <w:rPr>
          <w:i/>
          <w:iCs/>
        </w:rPr>
        <w:t xml:space="preserve">Brief description of the main products the project will deliver.</w:t>
      </w:r>
    </w:p>
    <w:tbl>
      <w:tblPr>
        <w:tblStyle w:val="Table"/>
        <w:tblW w:type="pct" w:w="4993"/>
        <w:tblLayout w:type="fixed"/>
        <w:tblLook w:firstRow="0" w:lastRow="0" w:firstColumn="0" w:lastColumn="0" w:noHBand="0" w:noVBand="0" w:val="0000"/>
      </w:tblPr>
      <w:tblGrid>
        <w:gridCol w:w="158"/>
        <w:gridCol w:w="883"/>
        <w:gridCol w:w="6866"/>
      </w:tblGrid>
      <w:tr>
        <w:tc>
          <w:tcPr>
            <w:gridSpan w:val="2"/>
            <w:vMerge w:val="restart"/>
          </w:tcPr>
          <w:p>
            <w:pPr>
              <w:pStyle w:val="Compact"/>
            </w:pPr>
            <w:r>
              <w:rPr>
                <w:b/>
                <w:bCs/>
              </w:rPr>
              <w:t xml:space="preserve">Product</w:t>
            </w:r>
            <w:r>
              <w:t xml:space="preserve"> </w:t>
            </w:r>
            <w:r>
              <w:t xml:space="preserve">=============+=============================================================================</w:t>
            </w:r>
            <w:r>
              <w:t xml:space="preserve"> </w:t>
            </w:r>
            <w:r>
              <w:t xml:space="preserve">1 | Framework for data-centric service development (responsibility: KS/Digdir)</w:t>
            </w:r>
          </w:p>
        </w:tc>
        <w:tc>
          <w:tcPr>
            <w:vMerge w:val="restart"/>
          </w:tcPr>
          <w:p>
            <w:pPr>
              <w:pStyle w:val="Compact"/>
            </w:pPr>
            <w:r>
              <w:rPr>
                <w:b/>
                <w:bCs/>
              </w:rPr>
              <w:t xml:space="preserve">Description</w:t>
            </w:r>
            <w:r>
              <w:t xml:space="preserve"> </w:t>
            </w:r>
            <w:r>
              <w:t xml:space="preserve">|</w:t>
            </w:r>
            <w:r>
              <w:t xml:space="preserve"> </w:t>
            </w:r>
            <w:r>
              <w:t xml:space="preserve">====================================================================================================================================================================================================================================================================================================================================================================================================================================================================================================================================================================================================+</w:t>
            </w:r>
            <w:r>
              <w:t xml:space="preserve"> </w:t>
            </w:r>
            <w:r>
              <w:t xml:space="preserve">A framework describing common concepts, a common language, standards and a clear governance model for collaboration with roles and responsibilities. The framework shall lay the groundwork for developing new and improved services by establishing updated best practice for how information models and services can be developed and managed in interaction. Starting from the area of children and young people – from kindergarten to higher education, the framework is tested in selected pilots, but must be flexible enough to support further service innovation and scaling, and be applicable in other domains.</w:t>
            </w:r>
          </w:p>
        </w:tc>
      </w:tr>
      <w:tr>
        <w:tc>
          <w:tcPr>
            <w:gridSpan w:val="2"/>
            <w:vMerge w:val="continue"/>
          </w:tcPr>
          <w:p>
            <w:pPr/>
          </w:p>
        </w:tc>
        <w:tc>
          <w:tcPr>
            <w:gridSpan w:val="1"/>
            <w:vMerge w:val="continue"/>
          </w:tcPr>
          <w:p>
            <w:pPr/>
          </w:p>
        </w:tc>
      </w:tr>
      <w:tr>
        <w:tc>
          <w:tcPr/>
          <w:p>
            <w:pPr>
              <w:pStyle w:val="Compact"/>
            </w:pPr>
            <w:r>
              <w:t xml:space="preserve">2</w:t>
            </w:r>
          </w:p>
        </w:tc>
        <w:tc>
          <w:tcPr/>
          <w:p>
            <w:pPr>
              <w:pStyle w:val="Compact"/>
            </w:pPr>
            <w:r>
              <w:t xml:space="preserve">Common catalogue solutions (responsibility: Digdir)</w:t>
            </w:r>
          </w:p>
        </w:tc>
        <w:tc>
          <w:tcPr/>
          <w:p>
            <w:pPr>
              <w:pStyle w:val="Compact"/>
            </w:pPr>
            <w:r>
              <w:t xml:space="preserve">Continuation of standards and common public catalogues on the current platform (data.norge.no) with necessary extensions. At the same time, an open ecosystem is facilitated in which multiple catalogues – that is, overviews or registers of data, services or other resources – are interconnected, but owned and managed by different actors.</w:t>
            </w:r>
            <w:r>
              <w:t xml:space="preserve"> </w:t>
            </w:r>
            <w:r>
              <w:rPr>
                <w:i/>
                <w:iCs/>
              </w:rPr>
              <w:t xml:space="preserve">Examples of relevant catalogues in data.norge.no:</w:t>
            </w:r>
            <w:r>
              <w:t xml:space="preserve"> </w:t>
            </w:r>
            <w:r>
              <w:t xml:space="preserve">concept catalogue, data catalogue, service and event catalogue, information model catalogue. |</w:t>
            </w:r>
          </w:p>
        </w:tc>
      </w:tr>
      <w:tr>
        <w:tc>
          <w:tcPr/>
          <w:p>
            <w:pPr>
              <w:pStyle w:val="Compact"/>
            </w:pPr>
            <w:r>
              <w:t xml:space="preserve">3</w:t>
            </w:r>
          </w:p>
        </w:tc>
        <w:tc>
          <w:tcPr>
            <w:gridSpan w:val="2"/>
          </w:tcPr>
          <w:p>
            <w:pPr>
              <w:pStyle w:val="Compact"/>
            </w:pPr>
            <w:r>
              <w:t xml:space="preserve">Common information models in childcare and education (responsibility:</w:t>
            </w:r>
            <w:r>
              <w:t xml:space="preserve"> </w:t>
            </w:r>
            <w:r>
              <w:t xml:space="preserve">“multiple”</w:t>
            </w:r>
            <w:r>
              <w:t xml:space="preserve">) | Common information models describing central concepts and relationships between statutory rights, duties, tasks, services, events and data structures in childcare and education – across municipal and state systems, throughout the journey from kindergarten to higher education. The modelling work in the project is limited so that specific services can be piloted, and will be further developed as pilots are carried out and experience is gained. |</w:t>
            </w:r>
          </w:p>
        </w:tc>
      </w:tr>
      <w:tr>
        <w:tc>
          <w:tcPr/>
          <w:p>
            <w:pPr>
              <w:pStyle w:val="Compact"/>
            </w:pPr>
            <w:r>
              <w:t xml:space="preserve">4</w:t>
            </w:r>
          </w:p>
        </w:tc>
        <w:tc>
          <w:tcPr/>
          <w:p>
            <w:pPr>
              <w:pStyle w:val="Compact"/>
            </w:pPr>
            <w:r>
              <w:t xml:space="preserve">Improved common solutions (responsibility:</w:t>
            </w:r>
            <w:r>
              <w:t xml:space="preserve"> </w:t>
            </w:r>
            <w:r>
              <w:t xml:space="preserve">“multiple”</w:t>
            </w:r>
            <w:r>
              <w:t xml:space="preserve">)</w:t>
            </w:r>
          </w:p>
        </w:tc>
        <w:tc>
          <w:tcPr/>
          <w:p>
            <w:pPr>
              <w:pStyle w:val="Compact"/>
            </w:pPr>
            <w:r>
              <w:t xml:space="preserve">Improvements to existing common solutions and services that meet the needs within children and young people – from kindergarten to higher education. Measures are developed in line with needs identified in the work with MVPs and pilots. A common backlog/priority list is established to ensure progress in the development of the ecosystem and the digital value chains. |</w:t>
            </w:r>
          </w:p>
        </w:tc>
      </w:tr>
      <w:tr>
        <w:tc>
          <w:tcPr/>
          <w:p>
            <w:pPr>
              <w:pStyle w:val="Compact"/>
            </w:pPr>
            <w:r>
              <w:t xml:space="preserve">5</w:t>
            </w:r>
          </w:p>
        </w:tc>
        <w:tc>
          <w:tcPr>
            <w:gridSpan w:val="2"/>
          </w:tcPr>
          <w:p>
            <w:pPr>
              <w:pStyle w:val="Compact"/>
            </w:pPr>
            <w:r>
              <w:t xml:space="preserve">MVPs for development of information models and services (responsibility: multiple) | Development of MVPs and pilots that demonstrate how the chosen concept enables efficient development of information models and services</w:t>
            </w:r>
            <w:r>
              <w:t xml:space="preserve"> </w:t>
            </w:r>
            <w:r>
              <w:rPr>
                <w:u w:val="single"/>
              </w:rPr>
              <w:t xml:space="preserve">in practice</w:t>
            </w:r>
            <w:r>
              <w:t xml:space="preserve">. The project will prioritise specific services and use cases throughout (from the planning phase onwards). Preliminary examples: |</w:t>
            </w:r>
            <w:r>
              <w:t xml:space="preserve"> </w:t>
            </w:r>
            <w:r>
              <w:t xml:space="preserve">| |</w:t>
            </w:r>
            <w:r>
              <w:t xml:space="preserve"> </w:t>
            </w:r>
            <w:r>
              <w:t xml:space="preserve">| - Transitions between educational levels (from kindergarten to primary school / compulsory education, on to upper secondary and higher education) – e.g. exchange of pupil information when changing schools. |</w:t>
            </w:r>
            <w:r>
              <w:t xml:space="preserve"> </w:t>
            </w:r>
            <w:r>
              <w:t xml:space="preserve">| |</w:t>
            </w:r>
            <w:r>
              <w:t xml:space="preserve"> </w:t>
            </w:r>
            <w:r>
              <w:t xml:space="preserve">| - Distribution of pupils in transition from primary school / compulsory education to upper secondary for crime prevention purposes |</w:t>
            </w:r>
            <w:r>
              <w:t xml:space="preserve"> </w:t>
            </w:r>
            <w:r>
              <w:t xml:space="preserve">| |</w:t>
            </w:r>
            <w:r>
              <w:t xml:space="preserve"> </w:t>
            </w:r>
            <w:r>
              <w:t xml:space="preserve">| - Changing school or place of study. |</w:t>
            </w:r>
            <w:r>
              <w:t xml:space="preserve"> </w:t>
            </w:r>
            <w:r>
              <w:t xml:space="preserve">| |</w:t>
            </w:r>
            <w:r>
              <w:t xml:space="preserve"> </w:t>
            </w:r>
            <w:r>
              <w:t xml:space="preserve">| - Interplay with other municipal services such as child welfare or PPT (educational psychology service). |</w:t>
            </w:r>
            <w:r>
              <w:t xml:space="preserve"> </w:t>
            </w:r>
            <w:r>
              <w:t xml:space="preserve">| |</w:t>
            </w:r>
            <w:r>
              <w:t xml:space="preserve"> </w:t>
            </w:r>
            <w:r>
              <w:t xml:space="preserve">| - Interplay with working life |</w:t>
            </w:r>
            <w:r>
              <w:t xml:space="preserve"> </w:t>
            </w:r>
            <w:r>
              <w:t xml:space="preserve">| |</w:t>
            </w:r>
            <w:r>
              <w:t xml:space="preserve"> </w:t>
            </w:r>
            <w:r>
              <w:t xml:space="preserve">| - Digital dialogue and increased involvement between kindergarten/school and the home (guardians and pupils). |</w:t>
            </w:r>
            <w:r>
              <w:t xml:space="preserve"> </w:t>
            </w:r>
            <w:r>
              <w:t xml:space="preserve">| |</w:t>
            </w:r>
            <w:r>
              <w:t xml:space="preserve"> </w:t>
            </w:r>
            <w:r>
              <w:t xml:space="preserve">| - Change of educational pathway or programme of study. |</w:t>
            </w:r>
            <w:r>
              <w:t xml:space="preserve"> </w:t>
            </w:r>
            <w:r>
              <w:t xml:space="preserve">| |</w:t>
            </w:r>
            <w:r>
              <w:t xml:space="preserve"> </w:t>
            </w:r>
            <w:r>
              <w:t xml:space="preserve">| - Discontinued education (dropout). |</w:t>
            </w:r>
            <w:r>
              <w:t xml:space="preserve"> </w:t>
            </w:r>
            <w:r>
              <w:t xml:space="preserve">| |</w:t>
            </w:r>
            <w:r>
              <w:t xml:space="preserve"> </w:t>
            </w:r>
            <w:r>
              <w:t xml:space="preserve">| - Sharing of digital diplomas and certificates of competence with working life |</w:t>
            </w:r>
            <w:r>
              <w:t xml:space="preserve"> </w:t>
            </w:r>
            <w:r>
              <w:t xml:space="preserve">| |</w:t>
            </w:r>
            <w:r>
              <w:t xml:space="preserve"> </w:t>
            </w:r>
            <w:r>
              <w:t xml:space="preserve">| - Efficient IT procurement with common standards |</w:t>
            </w:r>
            <w:r>
              <w:t xml:space="preserve"> </w:t>
            </w:r>
            <w:r>
              <w:t xml:space="preserve">| |</w:t>
            </w:r>
            <w:r>
              <w:t xml:space="preserve"> </w:t>
            </w:r>
            <w:r>
              <w:t xml:space="preserve">| - AI solutions based on structured, common information models in childcare and education, in collaboration with other AI initiatives. |</w:t>
            </w:r>
            <w:r>
              <w:t xml:space="preserve"> </w:t>
            </w:r>
            <w:r>
              <w:t xml:space="preserve">| |</w:t>
            </w:r>
            <w:r>
              <w:t xml:space="preserve"> </w:t>
            </w:r>
            <w:r>
              <w:t xml:space="preserve">| - Event-driven and automated reporting with MVP on a new solution for this (e.g. reporting to SSB/KOSTRA). |</w:t>
            </w:r>
          </w:p>
        </w:tc>
      </w:tr>
      <w:tr>
        <w:tc>
          <w:tcPr/>
          <w:p>
            <w:pPr>
              <w:pStyle w:val="Compact"/>
            </w:pPr>
            <w:r>
              <w:t xml:space="preserve">6</w:t>
            </w:r>
          </w:p>
        </w:tc>
        <w:tc>
          <w:tcPr/>
          <w:p>
            <w:pPr>
              <w:pStyle w:val="Compact"/>
            </w:pPr>
            <w:r>
              <w:t xml:space="preserve">Input to regulatory changes (responsibility: Digdir)</w:t>
            </w:r>
          </w:p>
        </w:tc>
        <w:tc>
          <w:tcPr/>
          <w:p>
            <w:pPr>
              <w:pStyle w:val="Compact"/>
            </w:pPr>
            <w:r>
              <w:t xml:space="preserve">Input to changes in legislation to remove legal barriers to interoperability. This is done as early as possible to facilitate piloting and further scaling, but the project does not take responsibility for the legislative work itself. |</w:t>
            </w:r>
          </w:p>
        </w:tc>
      </w:tr>
      <w:tr>
        <w:tc>
          <w:tcPr/>
          <w:p>
            <w:pPr>
              <w:pStyle w:val="Compact"/>
            </w:pPr>
            <w:r>
              <w:t xml:space="preserve">7</w:t>
            </w:r>
          </w:p>
        </w:tc>
        <w:tc>
          <w:tcPr>
            <w:gridSpan w:val="2"/>
          </w:tcPr>
          <w:p>
            <w:pPr>
              <w:pStyle w:val="Compact"/>
            </w:pPr>
            <w:r>
              <w:t xml:space="preserve">Knowledge sharing for competence building and dissemination (responsibility: Digdir) | The project’s results and experiences are documented and disseminated so that others can benefit from them, both during and after the project. This shall contribute to further dissemination and scaling of the concepts and solutions that are established. All relevant material is preserved in a comprehensive final report upon project completion, including guidance materials, documentation and examples. |</w:t>
            </w:r>
          </w:p>
        </w:tc>
      </w:tr>
    </w:tbl>
    <w:bookmarkEnd w:id="42"/>
    <w:bookmarkStart w:id="43" w:name="stakeholders"/>
    <w:p>
      <w:pPr>
        <w:pStyle w:val="Heading1"/>
      </w:pPr>
      <w:r>
        <w:t xml:space="preserve">Stakeholders</w:t>
      </w:r>
    </w:p>
    <w:p>
      <w:pPr>
        <w:pStyle w:val="FirstParagraph"/>
      </w:pPr>
      <w:r>
        <w:rPr>
          <w:i/>
          <w:iCs/>
        </w:rPr>
        <w:t xml:space="preserve">The most important internal and external stakeholders for the project, and the nature of their interest.</w:t>
      </w:r>
    </w:p>
    <w:tbl>
      <w:tblPr>
        <w:tblStyle w:val="Table"/>
        <w:tblW w:type="pct" w:w="4995"/>
        <w:tblLayout w:type="fixed"/>
        <w:tblLook w:firstRow="0" w:lastRow="0" w:firstColumn="0" w:lastColumn="0" w:noHBand="0" w:noVBand="0" w:val="0000"/>
      </w:tblPr>
      <w:tblGrid>
        <w:gridCol w:w="341"/>
        <w:gridCol w:w="7139"/>
        <w:gridCol w:w="432"/>
      </w:tblGrid>
      <w:tr>
        <w:tc>
          <w:tcPr>
            <w:gridSpan w:val="3"/>
          </w:tcPr>
          <w:p>
            <w:pPr>
              <w:pStyle w:val="Compact"/>
            </w:pPr>
            <w:r>
              <w:rPr>
                <w:b/>
                <w:bCs/>
              </w:rPr>
              <w:t xml:space="preserve">Stakeholder</w:t>
            </w:r>
            <w:r>
              <w:t xml:space="preserve"> </w:t>
            </w:r>
            <w:r>
              <w:t xml:space="preserve">|</w:t>
            </w:r>
            <w:r>
              <w:t xml:space="preserve"> </w:t>
            </w:r>
            <w:r>
              <w:rPr>
                <w:b/>
                <w:bCs/>
              </w:rPr>
              <w:t xml:space="preserve">What interest do they have in the project?</w:t>
            </w:r>
            <w:r>
              <w:t xml:space="preserve"> </w:t>
            </w:r>
            <w:r>
              <w:t xml:space="preserve">|</w:t>
            </w:r>
            <w:r>
              <w:t xml:space="preserve"> </w:t>
            </w:r>
            <w:r>
              <w:t xml:space="preserve">============================================+:===========================================================================================================================================================================================================================================================================================================================================================================================================================================================================================================================================================================================================================================================================================================================================================================================================================================================================================================================================================================:+</w:t>
            </w:r>
            <w:r>
              <w:t xml:space="preserve"> </w:t>
            </w:r>
            <w:r>
              <w:t xml:space="preserve">(name of organisation etc.) | (e.g. benefit owner, collaborative partner, principal contributor, etc.) |</w:t>
            </w:r>
          </w:p>
        </w:tc>
      </w:tr>
      <w:tr>
        <w:tc>
          <w:tcPr/>
          <w:p>
            <w:pPr>
              <w:pStyle w:val="Compact"/>
            </w:pPr>
            <w:r>
              <w:t xml:space="preserve">Udir</w:t>
            </w:r>
          </w:p>
        </w:tc>
        <w:tc>
          <w:tcPr>
            <w:gridSpan w:val="2"/>
          </w:tcPr>
          <w:p>
            <w:pPr>
              <w:pStyle w:val="Compact"/>
            </w:pPr>
            <w:r>
              <w:t xml:space="preserve">Principal contributor and collaborative partner. Udir develops knowledge about the state of kindergartens, after-school care, schools and vocational training through research, evaluation, statistics, several international studies, the pupil survey and other user surveys. Udir therefore needs data and information from various administrative levels, including municipalities and county councils. The project contributes to Udir being able to receive higher quality and more standardised reporting from municipalities. |</w:t>
            </w:r>
          </w:p>
        </w:tc>
      </w:tr>
      <w:tr>
        <w:tc>
          <w:tcPr/>
          <w:p>
            <w:pPr>
              <w:pStyle w:val="Compact"/>
            </w:pPr>
            <w:r>
              <w:t xml:space="preserve">KS</w:t>
            </w:r>
          </w:p>
        </w:tc>
        <w:tc>
          <w:tcPr>
            <w:gridSpan w:val="2"/>
          </w:tcPr>
          <w:p>
            <w:pPr>
              <w:pStyle w:val="Compact"/>
            </w:pPr>
            <w:r>
              <w:t xml:space="preserve">Collaborative partner and benefit owner. KS brings together the municipal sector in digitalisation work and promotes their interests. The needs of the municipal sector are defined through co-governance bodies such as the KommIT council, the digitalisation committee and underlying technical committees, in collaboration with the digitalisation networks. In the project, KS is responsible for promoting the needs of the municipal sector, and will also contribute relevant resource persons particularly to promote connections, common architecture and to contribute to realising the benefits in the sector. |</w:t>
            </w:r>
          </w:p>
        </w:tc>
      </w:tr>
      <w:tr>
        <w:tc>
          <w:tcPr/>
          <w:p>
            <w:pPr>
              <w:pStyle w:val="Compact"/>
            </w:pPr>
            <w:r>
              <w:t xml:space="preserve">KS Digital</w:t>
            </w:r>
          </w:p>
        </w:tc>
        <w:tc>
          <w:tcPr>
            <w:gridSpan w:val="2"/>
          </w:tcPr>
          <w:p>
            <w:pPr>
              <w:pStyle w:val="Compact"/>
            </w:pPr>
            <w:r>
              <w:t xml:space="preserve">Collaborative partner (under KS). KS Digital shall contribute to increasing the pace of digitalisation in municipalities and county councils. The company is wholly owned by KS, has a non-commercial purpose and is governed by the municipalities and county councils. KS Digital establishes and delivers services and solutions for the needs of municipalities and county councils, and shall facilitate the uptake of services and create shared benefits for the sector. The project is in line with the ownership strategy and business strategy through collaboration with other actors and contributions to better and cheaper services for municipalities and county councils in the area of childcare and education. |</w:t>
            </w:r>
          </w:p>
        </w:tc>
      </w:tr>
      <w:tr>
        <w:tc>
          <w:tcPr/>
          <w:p>
            <w:pPr>
              <w:pStyle w:val="Compact"/>
            </w:pPr>
            <w:r>
              <w:t xml:space="preserve">County Governor’s Shared Services (STAF)</w:t>
            </w:r>
          </w:p>
        </w:tc>
        <w:tc>
          <w:tcPr>
            <w:gridSpan w:val="2"/>
          </w:tcPr>
          <w:p>
            <w:pPr>
              <w:pStyle w:val="Compact"/>
            </w:pPr>
            <w:r>
              <w:t xml:space="preserve">Collaborative partner and important requirements/needs contributor to the work. STAF gains better conditions for carrying out its tasks (guidance, grants, supervision and complaint handling). |</w:t>
            </w:r>
          </w:p>
        </w:tc>
      </w:tr>
      <w:tr>
        <w:tc>
          <w:tcPr/>
          <w:p>
            <w:pPr>
              <w:pStyle w:val="Compact"/>
            </w:pPr>
            <w:r>
              <w:t xml:space="preserve">HK-dir</w:t>
            </w:r>
          </w:p>
        </w:tc>
        <w:tc>
          <w:tcPr/>
          <w:p>
            <w:pPr>
              <w:pStyle w:val="Compact"/>
            </w:pPr>
            <w:r>
              <w:t xml:space="preserve">Principal contributor and collaborative partner. HK-dir gains better overview of connections between compulsory education, higher education and transition to the labour market, and contributes to further development of common data models in KUDAF (data analysis-oriented, secondary data) in connection with corresponding work from Sikt (system integration-oriented, primary data).</w:t>
            </w:r>
          </w:p>
        </w:tc>
        <w:tc>
          <w:tcPr/>
          <w:p>
            <w:pPr>
              <w:pStyle w:val="Compact"/>
            </w:pPr>
          </w:p>
        </w:tc>
      </w:tr>
      <w:tr>
        <w:tc>
          <w:tcPr/>
          <w:p>
            <w:pPr>
              <w:pStyle w:val="Compact"/>
            </w:pPr>
            <w:r>
              <w:t xml:space="preserve">Digdir</w:t>
            </w:r>
          </w:p>
        </w:tc>
        <w:tc>
          <w:tcPr>
            <w:gridSpan w:val="2"/>
          </w:tcPr>
          <w:p>
            <w:pPr>
              <w:pStyle w:val="Compact"/>
            </w:pPr>
            <w:r>
              <w:t xml:space="preserve">Principal contributor and collaborative partner. The Norwegian Digitalisation Agency has, generally and also in this project, responsibility for coordinating and facilitating holistic, seamless services of good quality in the public sector. For the Norwegian Digitalisation Agency, the project represents a strategic investment which, even though it does not generate immediate savings in its own operations, is in line with our public mandate to facilitate efficient, user-centred and coordinated digitalisation of the public sector. The project is also expected to create the foundation for new opportunities for expanded use and further development of Digdir’s common solutions. |</w:t>
            </w:r>
          </w:p>
        </w:tc>
      </w:tr>
      <w:tr>
        <w:tc>
          <w:tcPr/>
          <w:p>
            <w:pPr>
              <w:pStyle w:val="Compact"/>
            </w:pPr>
            <w:r>
              <w:t xml:space="preserve">Sikt</w:t>
            </w:r>
          </w:p>
        </w:tc>
        <w:tc>
          <w:tcPr>
            <w:gridSpan w:val="2"/>
          </w:tcPr>
          <w:p>
            <w:pPr>
              <w:pStyle w:val="Compact"/>
            </w:pPr>
            <w:r>
              <w:t xml:space="preserve">Sikt is the knowledge sector’s service provider and is responsible for many of the national digital common services used in the knowledge sector. |</w:t>
            </w:r>
            <w:r>
              <w:t xml:space="preserve"> </w:t>
            </w:r>
            <w:r>
              <w:t xml:space="preserve">|</w:t>
            </w:r>
            <w:r>
              <w:t xml:space="preserve"> </w:t>
            </w:r>
            <w:r>
              <w:t xml:space="preserve">Sikt shall contribute to the development of seamless digital services across the public sector, strengthen value creation based on data sharing and increased collaboration between public actors with a special focus on data. Sikt’s contribution to the project will be linked to further development of Sikt’s data-oriented services and the ecosystems around these with a focus on: |</w:t>
            </w:r>
            <w:r>
              <w:t xml:space="preserve"> </w:t>
            </w:r>
            <w:r>
              <w:t xml:space="preserve">|</w:t>
            </w:r>
            <w:r>
              <w:t xml:space="preserve"> </w:t>
            </w:r>
            <w:r>
              <w:t xml:space="preserve">- Feide – simpler login and data sharing in the knowledge sector. |</w:t>
            </w:r>
            <w:r>
              <w:t xml:space="preserve"> </w:t>
            </w:r>
            <w:r>
              <w:t xml:space="preserve">|</w:t>
            </w:r>
            <w:r>
              <w:t xml:space="preserve"> </w:t>
            </w:r>
            <w:r>
              <w:t xml:space="preserve">- National registers, including the education register, certificate of competence register and person ID, further developing the common generic data models for authoritative registers and piloting the use of these registers at multiple educational levels. |</w:t>
            </w:r>
          </w:p>
        </w:tc>
      </w:tr>
      <w:tr>
        <w:tc>
          <w:tcPr/>
          <w:p>
            <w:pPr>
              <w:pStyle w:val="Compact"/>
            </w:pPr>
            <w:r>
              <w:t xml:space="preserve">SSB</w:t>
            </w:r>
          </w:p>
        </w:tc>
        <w:tc>
          <w:tcPr>
            <w:gridSpan w:val="2"/>
          </w:tcPr>
          <w:p>
            <w:pPr>
              <w:pStyle w:val="Compact"/>
            </w:pPr>
            <w:r>
              <w:rPr>
                <w:i/>
                <w:iCs/>
              </w:rPr>
              <w:t xml:space="preserve">Collaborative partner. SSB aims to collect data for the production of official statistics in the most efficient and secure way possible, and at the lowest possible cost for those who provide data. SSB reuses as much data as possible that already exists in public registers, and wishes to collect it through secure channels and established services already used by data providers and respondents for other purposes for data sharing. SSB will contribute to ensuring the information model is rich enough to cover the most important data needs for official statistics. SSB will further contribute to ensuring that reporting of data within and between different sectors/administrative levels can take place as seamlessly as possible also for statistical purposes where data sharing from relevant sources becomes established reporting of governance data, for control purposes. The project is relevant for future simplifications related to education statistics and for easier access to data in KOSTRA.</w:t>
            </w:r>
          </w:p>
        </w:tc>
      </w:tr>
      <w:tr>
        <w:tc>
          <w:tcPr/>
          <w:p>
            <w:pPr>
              <w:pStyle w:val="Compact"/>
            </w:pPr>
            <w:r>
              <w:t xml:space="preserve">Novari IKS</w:t>
            </w:r>
          </w:p>
        </w:tc>
        <w:tc>
          <w:tcPr>
            <w:gridSpan w:val="2"/>
          </w:tcPr>
          <w:p>
            <w:pPr>
              <w:pStyle w:val="Compact"/>
            </w:pPr>
            <w:r>
              <w:t xml:space="preserve">Collaborative partner. Novari IKS takes care of the county councils’ need for digital services and develops, among other things, common components for upper secondary education for all county councils. Novari has developed and operates FINT (Felles INTegrasjoner – Common Integrations) and can, on behalf of the county councils, contribute experience and expertise on common information models. The project will contribute to Novari being able to better than today fulfil its mandate to meet the county councils’ need for data sharing across administrative levels and to realise benefits for the entire education sector. |</w:t>
            </w:r>
          </w:p>
        </w:tc>
      </w:tr>
      <w:tr>
        <w:tc>
          <w:tcPr/>
          <w:p>
            <w:pPr>
              <w:pStyle w:val="Compact"/>
            </w:pPr>
            <w:r>
              <w:t xml:space="preserve">Citizens</w:t>
            </w:r>
          </w:p>
        </w:tc>
        <w:tc>
          <w:tcPr>
            <w:gridSpan w:val="2"/>
          </w:tcPr>
          <w:p>
            <w:pPr>
              <w:pStyle w:val="Compact"/>
            </w:pPr>
            <w:r>
              <w:t xml:space="preserve">Service recipients. Children, guardians, pupils and students shall experience seamless, simple and cohesive services in their encounter with the public sector in childcare and education. |</w:t>
            </w:r>
          </w:p>
        </w:tc>
      </w:tr>
      <w:tr>
        <w:tc>
          <w:tcPr/>
          <w:p>
            <w:pPr>
              <w:pStyle w:val="Compact"/>
            </w:pPr>
            <w:r>
              <w:t xml:space="preserve">Private providers of digital services</w:t>
            </w:r>
          </w:p>
        </w:tc>
        <w:tc>
          <w:tcPr>
            <w:gridSpan w:val="2"/>
          </w:tcPr>
          <w:p>
            <w:pPr>
              <w:pStyle w:val="Compact"/>
            </w:pPr>
            <w:r>
              <w:t xml:space="preserve">Provider and service recipient: Deliver services to the public sector and may be affected by the project’s deliverables. The project can contribute to businesses being able to offer better services based on standardised information models and integration interfaces. |</w:t>
            </w:r>
          </w:p>
        </w:tc>
      </w:tr>
      <w:tr>
        <w:tc>
          <w:tcPr/>
          <w:p>
            <w:pPr>
              <w:pStyle w:val="Compact"/>
            </w:pPr>
            <w:r>
              <w:t xml:space="preserve">Private educational providers</w:t>
            </w:r>
          </w:p>
        </w:tc>
        <w:tc>
          <w:tcPr>
            <w:gridSpan w:val="2"/>
          </w:tcPr>
          <w:p>
            <w:pPr>
              <w:pStyle w:val="Compact"/>
            </w:pPr>
            <w:r>
              <w:t xml:space="preserve">Provider. The project facilitates private education being able to function more integrated with public educational offerings, with simpler transitions and opportunities for combination. |</w:t>
            </w:r>
          </w:p>
        </w:tc>
      </w:tr>
      <w:tr>
        <w:tc>
          <w:tcPr/>
          <w:p>
            <w:pPr>
              <w:pStyle w:val="Compact"/>
            </w:pPr>
            <w:r>
              <w:t xml:space="preserve">Employers</w:t>
            </w:r>
          </w:p>
        </w:tc>
        <w:tc>
          <w:tcPr>
            <w:gridSpan w:val="2"/>
          </w:tcPr>
          <w:p>
            <w:pPr>
              <w:pStyle w:val="Compact"/>
            </w:pPr>
            <w:r>
              <w:t xml:space="preserve">Service recipients. Employers receive digital academic credentials that they can trust and that can be compared by machine. The project also facilitates better integration between education and working life, so that more education can potentially take place in practical work settings. This also relates to facilitating further work towards goals of lifelong learning. |</w:t>
            </w:r>
          </w:p>
        </w:tc>
      </w:tr>
      <w:tr>
        <w:tc>
          <w:tcPr/>
          <w:p>
            <w:pPr>
              <w:pStyle w:val="Compact"/>
            </w:pPr>
            <w:r>
              <w:t xml:space="preserve">Governing bodies</w:t>
            </w:r>
          </w:p>
        </w:tc>
        <w:tc>
          <w:tcPr/>
          <w:p>
            <w:pPr>
              <w:pStyle w:val="BodyText"/>
            </w:pPr>
            <w:r>
              <w:t xml:space="preserve">Governance and anchoring. Examples:</w:t>
            </w:r>
          </w:p>
          <w:p>
            <w:pPr>
              <w:numPr>
                <w:ilvl w:val="0"/>
                <w:numId w:val="1017"/>
              </w:numPr>
            </w:pPr>
            <w:r>
              <w:t xml:space="preserve">The Co-governance Council for Digitalisation in Compulsory Education.</w:t>
            </w:r>
          </w:p>
          <w:p>
            <w:pPr>
              <w:numPr>
                <w:ilvl w:val="0"/>
                <w:numId w:val="1017"/>
              </w:numPr>
            </w:pPr>
            <w:r>
              <w:t xml:space="preserve">The Director Group for Digital Transformation in Education.</w:t>
            </w:r>
          </w:p>
          <w:p>
            <w:pPr>
              <w:numPr>
                <w:ilvl w:val="0"/>
                <w:numId w:val="1017"/>
              </w:numPr>
            </w:pPr>
            <w:r>
              <w:t xml:space="preserve">Skate</w:t>
            </w:r>
          </w:p>
          <w:p>
            <w:pPr>
              <w:numPr>
                <w:ilvl w:val="0"/>
                <w:numId w:val="1017"/>
              </w:numPr>
            </w:pPr>
            <w:r>
              <w:t xml:space="preserve">The Architecture and Standardisation Council</w:t>
            </w:r>
          </w:p>
        </w:tc>
        <w:tc>
          <w:tcPr/>
          <w:p>
            <w:pPr>
              <w:pStyle w:val="Compact"/>
            </w:pPr>
          </w:p>
        </w:tc>
      </w:tr>
      <w:tr>
        <w:tc>
          <w:tcPr/>
          <w:p>
            <w:pPr>
              <w:pStyle w:val="Compact"/>
            </w:pPr>
            <w:r>
              <w:t xml:space="preserve">Other public actors</w:t>
            </w:r>
          </w:p>
        </w:tc>
        <w:tc>
          <w:tcPr>
            <w:gridSpan w:val="2"/>
          </w:tcPr>
          <w:p>
            <w:pPr>
              <w:pStyle w:val="Compact"/>
            </w:pPr>
            <w:r>
              <w:t xml:space="preserve">Provider and collaborative partner. Actors delivering public services can gain great benefit from a standardised information model, which can also be reused and extended to other domains. It can contribute to making it easier for public actors to access data, build better services and contribute to seamless user journeys. |</w:t>
            </w:r>
            <w:r>
              <w:t xml:space="preserve"> </w:t>
            </w:r>
            <w:r>
              <w:t xml:space="preserve">|</w:t>
            </w:r>
            <w:r>
              <w:t xml:space="preserve"> </w:t>
            </w:r>
            <w:r>
              <w:t xml:space="preserve">Municipalities and county councils will be involved in the work to ensure close dialogue with the services the project is intended to support. |</w:t>
            </w:r>
          </w:p>
        </w:tc>
      </w:tr>
      <w:tr>
        <w:tc>
          <w:tcPr/>
          <w:p>
            <w:pPr>
              <w:pStyle w:val="Compact"/>
            </w:pPr>
            <w:r>
              <w:t xml:space="preserve">Municipalities</w:t>
            </w:r>
          </w:p>
        </w:tc>
        <w:tc>
          <w:tcPr>
            <w:gridSpan w:val="2"/>
          </w:tcPr>
          <w:p>
            <w:pPr>
              <w:pStyle w:val="Compact"/>
            </w:pPr>
            <w:r>
              <w:t xml:space="preserve">Municipalities are service providers for citizens and businesses, responsible for important welfare services such as health, care, education, technical infrastructure and community development, and more. Municipalities produce and deliver services, often in collaboration with state actors and private providers. Municipalities shall ensure user-friendly, accessible, secure and efficient services, and have an increasing responsibility for digital service development and data-driven administration. |</w:t>
            </w:r>
          </w:p>
        </w:tc>
      </w:tr>
      <w:tr>
        <w:tc>
          <w:tcPr/>
          <w:p>
            <w:pPr>
              <w:pStyle w:val="Compact"/>
            </w:pPr>
            <w:r>
              <w:t xml:space="preserve">County councils</w:t>
            </w:r>
          </w:p>
        </w:tc>
        <w:tc>
          <w:tcPr>
            <w:gridSpan w:val="2"/>
          </w:tcPr>
          <w:p>
            <w:pPr>
              <w:pStyle w:val="Compact"/>
            </w:pPr>
            <w:r>
              <w:t xml:space="preserve">County councils deliver regional services and are responsible for areas such as upper secondary education, public transport, dental health, regional development, culture and business development. County councils also have an increasing focus on digitalisation, data sharing and innovation to meet future needs. |</w:t>
            </w:r>
          </w:p>
        </w:tc>
      </w:tr>
      <w:tr>
        <w:tc>
          <w:tcPr/>
          <w:p>
            <w:pPr>
              <w:pStyle w:val="Compact"/>
            </w:pPr>
          </w:p>
        </w:tc>
        <w:tc>
          <w:tcPr/>
          <w:p>
            <w:pPr>
              <w:pStyle w:val="Compact"/>
            </w:pPr>
          </w:p>
        </w:tc>
        <w:tc>
          <w:tcPr/>
          <w:p>
            <w:pPr>
              <w:pStyle w:val="Compact"/>
            </w:pPr>
          </w:p>
        </w:tc>
      </w:tr>
    </w:tbl>
    <w:bookmarkEnd w:id="43"/>
    <w:bookmarkStart w:id="44" w:name="dependencies"/>
    <w:p>
      <w:pPr>
        <w:pStyle w:val="Heading1"/>
      </w:pPr>
      <w:r>
        <w:t xml:space="preserve">Dependencies</w:t>
      </w:r>
    </w:p>
    <w:p>
      <w:pPr>
        <w:pStyle w:val="FirstParagraph"/>
      </w:pPr>
      <w:r>
        <w:rPr>
          <w:i/>
          <w:iCs/>
        </w:rPr>
        <w:t xml:space="preserve">Brief description of the project’s internal and external dependencies (e.g. to other projects, internal and external deliverables, changes in laws and regulations, common components, etc.)</w:t>
      </w:r>
    </w:p>
    <w:p>
      <w:pPr>
        <w:pStyle w:val="BodyText"/>
      </w:pPr>
      <w:r>
        <w:t xml:space="preserve">This project must be developed with an agile approach to dependencies and collaboration, with coordination, use and reuse of solutions from parallel activities. We are operating in a complex and rapidly changing landscape nationally and internationally throughout the project period. Continuous work on this will be needed in the project, particularly during the planning phase. Here is a preliminary list of important dependencies:</w:t>
      </w:r>
    </w:p>
    <w:p>
      <w:pPr>
        <w:numPr>
          <w:ilvl w:val="0"/>
          <w:numId w:val="1018"/>
        </w:numPr>
      </w:pPr>
      <w:r>
        <w:rPr>
          <w:b/>
          <w:bCs/>
        </w:rPr>
        <w:t xml:space="preserve">DigiUng and ung.no:</w:t>
      </w:r>
      <w:r>
        <w:t xml:space="preserve"> </w:t>
      </w:r>
      <w:r>
        <w:t xml:space="preserve">DigiUng is a collaboration between public agencies and organisations. DigiUng collects quality-assured information and services for young people in one place – the government’s primary information channel ung.no. Dependencies should be analysed in more detail.</w:t>
      </w:r>
    </w:p>
    <w:p>
      <w:pPr>
        <w:numPr>
          <w:ilvl w:val="0"/>
          <w:numId w:val="1018"/>
        </w:numPr>
      </w:pPr>
      <w:r>
        <w:rPr>
          <w:b/>
          <w:bCs/>
        </w:rPr>
        <w:t xml:space="preserve">The Core Data Project at Digdir</w:t>
      </w:r>
      <w:r>
        <w:t xml:space="preserve"> </w:t>
      </w:r>
      <w:r>
        <w:t xml:space="preserve">defines</w:t>
      </w:r>
      <w:r>
        <w:t xml:space="preserve"> </w:t>
      </w:r>
      <w:r>
        <w:rPr>
          <w:i/>
          <w:iCs/>
        </w:rPr>
        <w:t xml:space="preserve">National core data</w:t>
      </w:r>
      <w:r>
        <w:t xml:space="preserve"> </w:t>
      </w:r>
      <w:r>
        <w:t xml:space="preserve">as “</w:t>
      </w:r>
      <w:r>
        <w:rPr>
          <w:i/>
          <w:iCs/>
        </w:rPr>
        <w:t xml:space="preserve">information that many people need and that is particularly important for the functions and services of society”</w:t>
      </w:r>
      <w:r>
        <w:t xml:space="preserve">. The project starts from Norway’s most important registers. The goal of authoritative datasets and data models is shared with goals in this project/application. The projects should be coordinated within Digdir.</w:t>
      </w:r>
    </w:p>
    <w:p>
      <w:pPr>
        <w:numPr>
          <w:ilvl w:val="0"/>
          <w:numId w:val="1018"/>
        </w:numPr>
      </w:pPr>
      <w:r>
        <w:rPr>
          <w:b/>
          <w:bCs/>
          <w:i/>
          <w:iCs/>
        </w:rPr>
        <w:t xml:space="preserve">Ongoing work on common solutions</w:t>
      </w:r>
      <w:r>
        <w:rPr>
          <w:i/>
          <w:iCs/>
        </w:rPr>
        <w:t xml:space="preserve"> </w:t>
      </w:r>
      <w:r>
        <w:rPr>
          <w:i/>
          <w:iCs/>
        </w:rPr>
        <w:t xml:space="preserve">at Digdir, KS Digital and others. This is governed at a higher level by the work on the national roadmap (SKATE/Digdir), where, for example, work is planned on a proxy solution that this project could benefit from and potentially contribute to (data models).</w:t>
      </w:r>
    </w:p>
    <w:p>
      <w:pPr>
        <w:numPr>
          <w:ilvl w:val="0"/>
          <w:numId w:val="1018"/>
        </w:numPr>
      </w:pPr>
      <w:r>
        <w:rPr>
          <w:b/>
          <w:bCs/>
        </w:rPr>
        <w:t xml:space="preserve">AI initiatives</w:t>
      </w:r>
      <w:r>
        <w:t xml:space="preserve"> </w:t>
      </w:r>
      <w:r>
        <w:t xml:space="preserve">– this is a melting pot with a large number of initiatives across research, business and the public sector. As examples, mention is made here of the ongoing establishment of AI Norway led by Digdir on commission from the Ministry of Digitalisation to meet the requirements of the EU’s AI Act; Digdir’s</w:t>
      </w:r>
      <w:r>
        <w:t xml:space="preserve"> </w:t>
      </w:r>
      <w:r>
        <w:t xml:space="preserve">“AI lab”</w:t>
      </w:r>
      <w:r>
        <w:t xml:space="preserve">; the project</w:t>
      </w:r>
      <w:r>
        <w:t xml:space="preserve"> </w:t>
      </w:r>
      <w:r>
        <w:t xml:space="preserve">“Simpler Access to Information (SAI)”</w:t>
      </w:r>
      <w:r>
        <w:t xml:space="preserve"> </w:t>
      </w:r>
      <w:r>
        <w:t xml:space="preserve">– a cross-sectoral project led by the Directorate of Health in collaboration with the public sector, aiming to develop an AI-based information assistant; and ongoing work on digital assistants and AI agents in several municipalities. This project will seek collaboration with parallel projects to demonstrate the use of artificial intelligence based on structured, common information models in the area of children and young people – from kindergarten to higher education.</w:t>
      </w:r>
    </w:p>
    <w:p>
      <w:pPr>
        <w:numPr>
          <w:ilvl w:val="0"/>
          <w:numId w:val="1018"/>
        </w:numPr>
      </w:pPr>
      <w:r>
        <w:rPr>
          <w:b/>
          <w:bCs/>
        </w:rPr>
        <w:t xml:space="preserve">Work on a common trust framework</w:t>
      </w:r>
      <w:r>
        <w:t xml:space="preserve"> </w:t>
      </w:r>
      <w:r>
        <w:t xml:space="preserve">– Goals for seamless services and data sharing cannot be achieved without a minimum of common trust services, where interoperability between solutions for identity and access management is essential. As examples, Sikt’s work on FEIDE is particularly relevant, as well as Digdir’s work on IDporten, Maskinporten, Altinn Authorisation and digital wallets in accordance with new EU standards. There is also work in the health sector where both KS/KS Digital and the Norwegian Health Network participate. Dependencies on the trust framework for data sharing from the EU’s Data Spaces Support Centre should also be examined.</w:t>
      </w:r>
    </w:p>
    <w:p>
      <w:pPr>
        <w:numPr>
          <w:ilvl w:val="0"/>
          <w:numId w:val="1018"/>
        </w:numPr>
      </w:pPr>
      <w:r>
        <w:rPr>
          <w:b/>
          <w:bCs/>
        </w:rPr>
        <w:t xml:space="preserve">The KS project Common Municipal Architecture (FKA)</w:t>
      </w:r>
      <w:r>
        <w:t xml:space="preserve"> </w:t>
      </w:r>
      <w:r>
        <w:t xml:space="preserve">– Establishment of common architecture and architecture products for use in digitalisation work for municipalities and county councils.</w:t>
      </w:r>
    </w:p>
    <w:p>
      <w:pPr>
        <w:numPr>
          <w:ilvl w:val="0"/>
          <w:numId w:val="1018"/>
        </w:numPr>
      </w:pPr>
      <w:r>
        <w:rPr>
          <w:b/>
          <w:bCs/>
        </w:rPr>
        <w:t xml:space="preserve">Common service platform</w:t>
      </w:r>
      <w:r>
        <w:t xml:space="preserve"> </w:t>
      </w:r>
      <w:r>
        <w:t xml:space="preserve">in the municipal sector, encompassing common application platform, data platform, common data management and establishment of</w:t>
      </w:r>
      <w:r>
        <w:t xml:space="preserve"> </w:t>
      </w:r>
      <w:r>
        <w:t xml:space="preserve">“Allmenningen”</w:t>
      </w:r>
      <w:r>
        <w:t xml:space="preserve"> </w:t>
      </w:r>
      <w:r>
        <w:t xml:space="preserve">for sharing of methods and frameworks, information and resources.</w:t>
      </w:r>
    </w:p>
    <w:p>
      <w:pPr>
        <w:numPr>
          <w:ilvl w:val="0"/>
          <w:numId w:val="1018"/>
        </w:numPr>
      </w:pPr>
      <w:r>
        <w:rPr>
          <w:b/>
          <w:bCs/>
        </w:rPr>
        <w:t xml:space="preserve">Other projects within information management</w:t>
      </w:r>
      <w:r>
        <w:t xml:space="preserve">: Relevant examples include HK-dir’s KUDAF solution and the Directorate of Health’s</w:t>
      </w:r>
      <w:r>
        <w:t xml:space="preserve"> </w:t>
      </w:r>
      <w:r>
        <w:t xml:space="preserve">“MinVei”</w:t>
      </w:r>
      <w:r>
        <w:t xml:space="preserve"> </w:t>
      </w:r>
      <w:r>
        <w:t xml:space="preserve">with the Norwegian Labour and Welfare Administration (Nav) and the Norwegian Tax Administration.</w:t>
      </w:r>
    </w:p>
    <w:p>
      <w:pPr>
        <w:numPr>
          <w:ilvl w:val="0"/>
          <w:numId w:val="1018"/>
        </w:numPr>
      </w:pPr>
      <w:r>
        <w:rPr>
          <w:b/>
          <w:bCs/>
        </w:rPr>
        <w:t xml:space="preserve">Legal interoperability</w:t>
      </w:r>
      <w:r>
        <w:t xml:space="preserve">: The Stimulab project by the Directorate of Health on legislation across sectors and administrative levels; research on digitalisation of regulations and</w:t>
      </w:r>
      <w:r>
        <w:t xml:space="preserve"> </w:t>
      </w:r>
      <w:r>
        <w:t xml:space="preserve">“rules as code”</w:t>
      </w:r>
      <w:r>
        <w:t xml:space="preserve"> </w:t>
      </w:r>
      <w:r>
        <w:t xml:space="preserve">– opening up for automation of work processes and AI-based solutions.</w:t>
      </w:r>
    </w:p>
    <w:p>
      <w:pPr>
        <w:numPr>
          <w:ilvl w:val="0"/>
          <w:numId w:val="1018"/>
        </w:numPr>
      </w:pPr>
      <w:r>
        <w:rPr>
          <w:b/>
          <w:bCs/>
        </w:rPr>
        <w:t xml:space="preserve">Other EU initiatives</w:t>
      </w:r>
      <w:r>
        <w:t xml:space="preserve">: Regulations and solutions for data sharing, life events and cross-border services, such as eIDAS and the European Digital Identity Wallet, the Single Digital Gateway Regulation (SDGR) and Data Spaces; particularly the Skills Data Space for academic credentials, lifelong learning and links to the labour market.</w:t>
      </w:r>
    </w:p>
    <w:p>
      <w:pPr>
        <w:numPr>
          <w:ilvl w:val="0"/>
          <w:numId w:val="1018"/>
        </w:numPr>
      </w:pPr>
      <w:r>
        <w:rPr>
          <w:b/>
          <w:bCs/>
        </w:rPr>
        <w:t xml:space="preserve">Sikt’s establishment of national registers</w:t>
      </w:r>
      <w:r>
        <w:t xml:space="preserve">: These registers include registers of programmes of study and accreditation (education register), diplomas and other results from education (certificate of competence register) and identity for persons in education. The education register is currently being established for higher education and vocational colleges, with the goal of also including compulsory education in future phases. The certificate of competence register is being established with diplomas from upper secondary school, also with the goal of including all educational levels. Identification of persons in education, including for foreign nationals, is a prerequisite for this infrastructure to function. Common generic data models for describing education and educational results are being established as part of this development.</w:t>
      </w:r>
    </w:p>
    <w:bookmarkEnd w:id="44"/>
    <w:bookmarkStart w:id="47" w:name="phases-and-main-deliverables"/>
    <w:p>
      <w:pPr>
        <w:pStyle w:val="Heading1"/>
      </w:pPr>
      <w:r>
        <w:t xml:space="preserve">Phases and Main Deliverables</w:t>
      </w:r>
    </w:p>
    <w:p>
      <w:pPr>
        <w:pStyle w:val="FirstParagraph"/>
      </w:pPr>
      <w:r>
        <w:rPr>
          <w:i/>
          <w:iCs/>
        </w:rPr>
        <w:t xml:space="preserve">Decision points (DPs) and milestones/main deliverables.</w:t>
      </w:r>
    </w:p>
    <w:tbl>
      <w:tblPr>
        <w:tblStyle w:val="Table"/>
        <w:tblW w:type="pct" w:w="4977"/>
        <w:tblLayout w:type="fixed"/>
        <w:tblLook w:firstRow="0" w:lastRow="0" w:firstColumn="0" w:lastColumn="0" w:noHBand="0" w:noVBand="0" w:val="0000"/>
      </w:tblPr>
      <w:tblGrid>
        <w:gridCol w:w="684"/>
        <w:gridCol w:w="6162"/>
        <w:gridCol w:w="277"/>
        <w:gridCol w:w="758"/>
      </w:tblGrid>
      <w:tr>
        <w:tc>
          <w:tcPr>
            <w:vMerge w:val="restart"/>
          </w:tcPr>
          <w:p>
            <w:pPr>
              <w:pStyle w:val="Heading1"/>
            </w:pPr>
            <w:bookmarkStart w:id="45" w:name="dpphase"/>
            <w:r>
              <w:rPr>
                <w:b/>
                <w:bCs/>
              </w:rPr>
              <w:t xml:space="preserve">DP/Phase</w:t>
            </w:r>
            <w:bookmarkEnd w:id="45"/>
          </w:p>
          <w:p>
            <w:pPr>
              <w:pStyle w:val="FirstParagraph"/>
            </w:pPr>
            <w:r>
              <w:t xml:space="preserve">DP2 / start of planning phase</w:t>
            </w:r>
          </w:p>
        </w:tc>
        <w:tc>
          <w:tcPr>
            <w:vMerge w:val="restart"/>
          </w:tcPr>
          <w:p>
            <w:pPr>
              <w:pStyle w:val="Heading1"/>
            </w:pPr>
            <w:bookmarkStart w:id="46" w:name="deliverable"/>
            <w:r>
              <w:rPr>
                <w:b/>
                <w:bCs/>
              </w:rPr>
              <w:t xml:space="preserve">Deliverable</w:t>
            </w:r>
            <w:bookmarkEnd w:id="46"/>
          </w:p>
          <w:p>
            <w:pPr>
              <w:pStyle w:val="FirstParagraph"/>
            </w:pPr>
            <w:r>
              <w:t xml:space="preserve">Concept phase deliverables before DP2: Project justification, project proposal, governance document (incl. benefit realisation plan)</w:t>
            </w:r>
          </w:p>
        </w:tc>
        <w:tc>
          <w:tcPr>
            <w:gridSpan w:val="2"/>
            <w:vMerge w:val="restart"/>
          </w:tcPr>
          <w:p>
            <w:pPr>
              <w:pStyle w:val="Compact"/>
            </w:pPr>
            <w:r>
              <w:rPr>
                <w:b/>
                <w:bCs/>
              </w:rPr>
              <w:t xml:space="preserve">Month/year</w:t>
            </w:r>
            <w:r>
              <w:t xml:space="preserve"> </w:t>
            </w:r>
            <w:r>
              <w:t xml:space="preserve">|</w:t>
            </w:r>
            <w:r>
              <w:t xml:space="preserve"> </w:t>
            </w:r>
            <w:r>
              <w:t xml:space="preserve">=============:+</w:t>
            </w:r>
            <w:r>
              <w:t xml:space="preserve"> </w:t>
            </w:r>
            <w:r>
              <w:t xml:space="preserve">Oct/25 |</w:t>
            </w:r>
          </w:p>
        </w:tc>
      </w:tr>
      <w:tr>
        <w:tc>
          <w:tcPr>
            <w:gridSpan w:val="1"/>
            <w:vMerge w:val="continue"/>
          </w:tcPr>
          <w:p>
            <w:pPr/>
          </w:p>
        </w:tc>
        <w:tc>
          <w:tcPr>
            <w:gridSpan w:val="1"/>
            <w:vMerge w:val="continue"/>
          </w:tcPr>
          <w:p>
            <w:pPr/>
          </w:p>
        </w:tc>
        <w:tc>
          <w:tcPr>
            <w:gridSpan w:val="2"/>
            <w:vMerge w:val="continue"/>
          </w:tcPr>
          <w:p>
            <w:pPr/>
          </w:p>
        </w:tc>
      </w:tr>
      <w:tr>
        <w:tc>
          <w:tcPr/>
          <w:p>
            <w:pPr>
              <w:pStyle w:val="Compact"/>
            </w:pPr>
            <w:r>
              <w:t xml:space="preserve">DP3 / start of execution phase</w:t>
            </w:r>
          </w:p>
        </w:tc>
        <w:tc>
          <w:tcPr>
            <w:gridSpan w:val="3"/>
          </w:tcPr>
          <w:p>
            <w:pPr>
              <w:pStyle w:val="Compact"/>
            </w:pPr>
            <w:r>
              <w:t xml:space="preserve">Planning phase deliverables before DP3: Overall architecture, project plan and updated governance document. Note: Presupposes agile methodology with continuous updating, detailing and room for changes during the project. In the current situation, especially with developments within</w:t>
            </w:r>
            <w:r>
              <w:t xml:space="preserve"> </w:t>
            </w:r>
            <w:r>
              <w:t xml:space="preserve">“artificial intelligence”</w:t>
            </w:r>
            <w:r>
              <w:t xml:space="preserve">, an agile approach is essential. | Mar/26 |</w:t>
            </w:r>
          </w:p>
        </w:tc>
      </w:tr>
      <w:tr>
        <w:tc>
          <w:tcPr/>
          <w:p>
            <w:pPr>
              <w:pStyle w:val="Compact"/>
            </w:pPr>
            <w:r>
              <w:t xml:space="preserve">Execution phase and milestones</w:t>
            </w:r>
          </w:p>
        </w:tc>
        <w:tc>
          <w:tcPr>
            <w:gridSpan w:val="3"/>
          </w:tcPr>
          <w:p>
            <w:pPr>
              <w:pStyle w:val="Compact"/>
            </w:pPr>
            <w:r>
              <w:t xml:space="preserve">The main deliverables from the execution phase correspond to the project’s products, as described in chapter 8. Since the application is submitted before the planning phase has been completed, the level of ambition and the milestone plan are currently formulated at a high level. The milestone plan will be detailed during the planning phase and quality assured at DP3.  | Mar/26</w:t>
            </w:r>
            <w:r>
              <w:t xml:space="preserve"> </w:t>
            </w:r>
            <w:r>
              <w:t xml:space="preserve">  | |</w:t>
            </w:r>
            <w:r>
              <w:t xml:space="preserve"> </w:t>
            </w:r>
            <w:r>
              <w:t xml:space="preserve">The following are high-level milestones in a logical sequence assumed for the execution phase (but some of the activities will run in parallel and deliverables will be developed iteratively): | |</w:t>
            </w:r>
            <w:r>
              <w:t xml:space="preserve"> </w:t>
            </w:r>
            <w:r>
              <w:t xml:space="preserve">| |</w:t>
            </w:r>
            <w:r>
              <w:t xml:space="preserve"> </w:t>
            </w:r>
            <w:r>
              <w:t xml:space="preserve">- M1: Framework as the basis for further work in this project, as extensions of the current framework for information management and national architecture from Digdir and KS, with detailing of concepts, common language, metamodels and updated best practice. | |</w:t>
            </w:r>
            <w:r>
              <w:t xml:space="preserve"> </w:t>
            </w:r>
            <w:r>
              <w:t xml:space="preserve">| |</w:t>
            </w:r>
            <w:r>
              <w:t xml:space="preserve"> </w:t>
            </w:r>
            <w:r>
              <w:t xml:space="preserve">- M2: Established national service catalogue within</w:t>
            </w:r>
            <w:r>
              <w:t xml:space="preserve"> </w:t>
            </w:r>
            <w:r>
              <w:t xml:space="preserve">“children and young people – from kindergarten to higher education”</w:t>
            </w:r>
            <w:r>
              <w:t xml:space="preserve"> </w:t>
            </w:r>
            <w:r>
              <w:t xml:space="preserve">in first version. | |</w:t>
            </w:r>
            <w:r>
              <w:t xml:space="preserve"> </w:t>
            </w:r>
            <w:r>
              <w:t xml:space="preserve">| |</w:t>
            </w:r>
            <w:r>
              <w:t xml:space="preserve"> </w:t>
            </w:r>
            <w:r>
              <w:t xml:space="preserve">- M3: Mapping of user journeys / service chains in selected use cases in the area of children and young people – from kindergarten to higher education, identifying information flows and any legal barriers. | |</w:t>
            </w:r>
            <w:r>
              <w:t xml:space="preserve"> </w:t>
            </w:r>
            <w:r>
              <w:t xml:space="preserve">| |</w:t>
            </w:r>
            <w:r>
              <w:t xml:space="preserve"> </w:t>
            </w:r>
            <w:r>
              <w:t xml:space="preserve">- M4: Any input submitted to changes in legislation to remove legal barriers to interoperability. | |</w:t>
            </w:r>
            <w:r>
              <w:t xml:space="preserve"> </w:t>
            </w:r>
            <w:r>
              <w:t xml:space="preserve">| |</w:t>
            </w:r>
            <w:r>
              <w:t xml:space="preserve"> </w:t>
            </w:r>
            <w:r>
              <w:t xml:space="preserve">- M5: Catalogue with definition of standardised APIs/messages/events for realisation of information flow | |</w:t>
            </w:r>
            <w:r>
              <w:t xml:space="preserve"> </w:t>
            </w:r>
            <w:r>
              <w:t xml:space="preserve">| |</w:t>
            </w:r>
            <w:r>
              <w:t xml:space="preserve"> </w:t>
            </w:r>
            <w:r>
              <w:t xml:space="preserve">- M6: Catalogue of authoritative datasets and data models in a core model covering the need for datasets in</w:t>
            </w:r>
            <w:r>
              <w:t xml:space="preserve"> </w:t>
            </w:r>
            <w:r>
              <w:t xml:space="preserve">“all”</w:t>
            </w:r>
            <w:r>
              <w:t xml:space="preserve"> </w:t>
            </w:r>
            <w:r>
              <w:t xml:space="preserve">relevant APIs/messages. | |</w:t>
            </w:r>
            <w:r>
              <w:t xml:space="preserve"> </w:t>
            </w:r>
            <w:r>
              <w:t xml:space="preserve">| |</w:t>
            </w:r>
            <w:r>
              <w:t xml:space="preserve"> </w:t>
            </w:r>
            <w:r>
              <w:t xml:space="preserve">- M7: Piloted solutions for selected use cases with reuse across multiple municipalities. | |</w:t>
            </w:r>
            <w:r>
              <w:t xml:space="preserve"> </w:t>
            </w:r>
            <w:r>
              <w:t xml:space="preserve">| |</w:t>
            </w:r>
            <w:r>
              <w:t xml:space="preserve"> </w:t>
            </w:r>
            <w:r>
              <w:t xml:space="preserve">- M8: Relevant improvements to common solutions specified and realised as far as possible. | |</w:t>
            </w:r>
          </w:p>
        </w:tc>
      </w:tr>
      <w:tr>
        <w:tc>
          <w:tcPr/>
          <w:p>
            <w:pPr>
              <w:pStyle w:val="Compact"/>
            </w:pPr>
            <w:r>
              <w:t xml:space="preserve">DP4 / start of closure phase</w:t>
            </w:r>
          </w:p>
        </w:tc>
        <w:tc>
          <w:tcPr/>
          <w:p>
            <w:pPr>
              <w:pStyle w:val="BodyText"/>
            </w:pPr>
            <w:r>
              <w:t xml:space="preserve">Formal closure of the project, incl. preparation for continuation/scaling/realisation.</w:t>
            </w:r>
          </w:p>
          <w:p>
            <w:pPr>
              <w:pStyle w:val="Compact"/>
              <w:numPr>
                <w:ilvl w:val="0"/>
                <w:numId w:val="1019"/>
              </w:numPr>
            </w:pPr>
            <w:r>
              <w:t xml:space="preserve">M9: Experience report with recommendations for further work.</w:t>
            </w:r>
          </w:p>
        </w:tc>
        <w:tc>
          <w:tcPr/>
          <w:p>
            <w:pPr>
              <w:pStyle w:val="Compact"/>
            </w:pPr>
            <w:r>
              <w:t xml:space="preserve">Sep/27</w:t>
            </w:r>
          </w:p>
        </w:tc>
        <w:tc>
          <w:tcPr/>
          <w:p>
            <w:pPr>
              <w:pStyle w:val="Compact"/>
            </w:pPr>
          </w:p>
        </w:tc>
      </w:tr>
      <w:tr>
        <w:tc>
          <w:tcPr/>
          <w:p>
            <w:pPr>
              <w:pStyle w:val="Compact"/>
            </w:pPr>
            <w:r>
              <w:t xml:space="preserve">DP5 / continuation to realisation</w:t>
            </w:r>
          </w:p>
        </w:tc>
        <w:tc>
          <w:tcPr/>
          <w:p>
            <w:pPr>
              <w:pStyle w:val="Compact"/>
            </w:pPr>
            <w:r>
              <w:t xml:space="preserve">All agreed products delivered, incl. final report to Digdir.</w:t>
            </w:r>
          </w:p>
        </w:tc>
        <w:tc>
          <w:tcPr/>
          <w:p>
            <w:pPr>
              <w:pStyle w:val="Compact"/>
            </w:pPr>
            <w:r>
              <w:t xml:space="preserve">Dec/27</w:t>
            </w:r>
          </w:p>
        </w:tc>
        <w:tc>
          <w:tcPr/>
          <w:p>
            <w:pPr>
              <w:pStyle w:val="Compact"/>
            </w:pPr>
          </w:p>
        </w:tc>
      </w:tr>
    </w:tbl>
    <w:bookmarkEnd w:id="47"/>
    <w:bookmarkStart w:id="48" w:name="X459d67362d94cdcf3653e294aa0fceb7567c0d4"/>
    <w:p>
      <w:pPr>
        <w:pStyle w:val="Heading1"/>
      </w:pPr>
      <w:r>
        <w:t xml:space="preserve">Summary of the Socioeconomic Viability of the Project</w:t>
      </w:r>
    </w:p>
    <w:p>
      <w:pPr>
        <w:pStyle w:val="FirstParagraph"/>
      </w:pPr>
      <w:r>
        <w:rPr>
          <w:i/>
          <w:iCs/>
        </w:rPr>
        <w:t xml:space="preserve">The socioeconomic analysis shall be summarised here. See chapter 6 of the guidance document. For completing the consequences of non-monetised impacts, use the following scale: Lowest value – – – – = 1, 0 = 5, Highest value + + + + = 9. Only the number should be entered here.</w:t>
      </w:r>
    </w:p>
    <w:p>
      <w:pPr>
        <w:pStyle w:val="BodyText"/>
      </w:pPr>
      <w:r>
        <w:t xml:space="preserve">Screenshot from the application form (Excel):</w:t>
      </w:r>
    </w:p>
    <w:tbl>
      <w:tblPr>
        <w:tblStyle w:val="FigureTable"/>
        <w:tblW w:type="auto" w:w="0"/>
        <w:jc w:val="center"/>
        <w:tblLook w:firstRow="0" w:lastRow="0" w:firstColumn="0" w:lastColumn="0"/>
      </w:tblPr>
      <w:tblGrid>
        <w:gridCol w:w="7920"/>
      </w:tblGrid>
      <w:tr>
        <w:tc>
          <w:tcPr/>
          <w:p>
            <w:pPr>
              <w:pStyle w:val="Compact"/>
              <w:jc w:val="center"/>
            </w:pPr>
            <w:r>
              <w:t xml:space="preserve">Et bilde som inneholder tekst, skjermbilde, display, nummer KI-generert innhold kan være feil.</w:t>
            </w:r>
          </w:p>
        </w:tc>
      </w:tr>
    </w:tbl>
    <w:p>
      <w:pPr>
        <w:pStyle w:val="ImageCaption"/>
      </w:pPr>
      <w:r>
        <w:t xml:space="preserve">Et bilde som inneholder tekst, skjermbilde, display, nummer KI-generert innhold kan være feil.</w:t>
      </w:r>
    </w:p>
    <w:bookmarkEnd w:id="48"/>
    <w:bookmarkStart w:id="153" w:name="X3cd24560679f8abe82b49557c448ffa580e89cd"/>
    <w:p>
      <w:pPr>
        <w:pStyle w:val="Heading1"/>
      </w:pPr>
      <w:r>
        <w:t xml:space="preserve">Appendix A: Qualitative Impacts as Described in the Application</w:t>
      </w:r>
    </w:p>
    <w:bookmarkStart w:id="56" w:name="X48dd535aa418505d65f10752f133c5fb0024181"/>
    <w:p>
      <w:pPr>
        <w:pStyle w:val="Heading2"/>
      </w:pPr>
      <w:r>
        <w:t xml:space="preserve">K1: Further dissemination of the project’s products</w:t>
      </w:r>
    </w:p>
    <w:bookmarkStart w:id="49" w:name="socioeconomic-value"/>
    <w:p>
      <w:pPr>
        <w:pStyle w:val="Heading3"/>
      </w:pPr>
      <w:r>
        <w:rPr>
          <w:i/>
          <w:iCs/>
        </w:rPr>
        <w:t xml:space="preserve">Socioeconomic value</w:t>
      </w:r>
    </w:p>
    <w:p>
      <w:pPr>
        <w:pStyle w:val="FirstParagraph"/>
      </w:pPr>
      <w:r>
        <w:t xml:space="preserve">Large.</w:t>
      </w:r>
    </w:p>
    <w:bookmarkEnd w:id="49"/>
    <w:bookmarkStart w:id="50" w:name="what-is-the-beneficial-impact"/>
    <w:p>
      <w:pPr>
        <w:pStyle w:val="Heading3"/>
      </w:pPr>
      <w:r>
        <w:rPr>
          <w:i/>
          <w:iCs/>
        </w:rPr>
        <w:t xml:space="preserve">What is the beneficial impact</w:t>
      </w:r>
    </w:p>
    <w:p>
      <w:pPr>
        <w:pStyle w:val="FirstParagraph"/>
      </w:pPr>
      <w:r>
        <w:t xml:space="preserve">Similar impacts as described for the chosen area (Childcare and education) also for other areas/sectors.</w:t>
      </w:r>
    </w:p>
    <w:bookmarkEnd w:id="50"/>
    <w:bookmarkStart w:id="51" w:name="who-does-the-benefit-arise-for"/>
    <w:p>
      <w:pPr>
        <w:pStyle w:val="Heading3"/>
      </w:pPr>
      <w:r>
        <w:rPr>
          <w:i/>
          <w:iCs/>
        </w:rPr>
        <w:t xml:space="preserve">Who does the benefit arise for</w:t>
      </w:r>
    </w:p>
    <w:p>
      <w:pPr>
        <w:pStyle w:val="FirstParagraph"/>
      </w:pPr>
      <w:r>
        <w:t xml:space="preserve">All stakeholders in digital services for which the public sector is responsible.</w:t>
      </w:r>
    </w:p>
    <w:bookmarkEnd w:id="51"/>
    <w:bookmarkStart w:id="52" w:name="how-does-the-beneficial-impact-arise"/>
    <w:p>
      <w:pPr>
        <w:pStyle w:val="Heading3"/>
      </w:pPr>
      <w:r>
        <w:rPr>
          <w:i/>
          <w:iCs/>
        </w:rPr>
        <w:t xml:space="preserve">How does the beneficial impact arise</w:t>
      </w:r>
    </w:p>
    <w:p>
      <w:pPr>
        <w:pStyle w:val="FirstParagraph"/>
      </w:pPr>
      <w:r>
        <w:t xml:space="preserve">This project’s products shall be prepared for scaling, both to be taken into use in other domains, with knowledge dissemination as one of the products. A common framework and governance model shall ensure that data and services are connected across sectors.</w:t>
      </w:r>
    </w:p>
    <w:bookmarkEnd w:id="52"/>
    <w:bookmarkStart w:id="53" w:name="uncertainty-assessment"/>
    <w:p>
      <w:pPr>
        <w:pStyle w:val="Heading3"/>
      </w:pPr>
      <w:r>
        <w:rPr>
          <w:i/>
          <w:iCs/>
        </w:rPr>
        <w:t xml:space="preserve">Uncertainty assessment</w:t>
      </w:r>
    </w:p>
    <w:p>
      <w:pPr>
        <w:pStyle w:val="FirstParagraph"/>
      </w:pPr>
      <w:r>
        <w:t xml:space="preserve">High.</w:t>
      </w:r>
    </w:p>
    <w:bookmarkEnd w:id="53"/>
    <w:bookmarkStart w:id="54" w:name="rationale-for-uncertainty-assessment"/>
    <w:p>
      <w:pPr>
        <w:pStyle w:val="Heading3"/>
      </w:pPr>
      <w:r>
        <w:rPr>
          <w:i/>
          <w:iCs/>
        </w:rPr>
        <w:t xml:space="preserve">Rationale for uncertainty assessment</w:t>
      </w:r>
    </w:p>
    <w:p>
      <w:pPr>
        <w:pStyle w:val="FirstParagraph"/>
      </w:pPr>
      <w:r>
        <w:t xml:space="preserve">It is relatively straightforward to demonstrate the impact of a concept through pilots in a defined area, whereas achieving dissemination of best practice and solutions at the scale we are aiming for here is challenging.</w:t>
      </w:r>
    </w:p>
    <w:bookmarkEnd w:id="54"/>
    <w:bookmarkStart w:id="55" w:name="preconditions"/>
    <w:p>
      <w:pPr>
        <w:pStyle w:val="Heading3"/>
      </w:pPr>
      <w:r>
        <w:rPr>
          <w:i/>
          <w:iCs/>
        </w:rPr>
        <w:t xml:space="preserve">Preconditions</w:t>
      </w:r>
    </w:p>
    <w:p>
      <w:pPr>
        <w:pStyle w:val="FirstParagraph"/>
      </w:pPr>
      <w:r>
        <w:t xml:space="preserve">This project must succeed with deliverables during the project period; moreover, one must succeed with follow-up and further dissemination after the project.</w:t>
      </w:r>
    </w:p>
    <w:p>
      <w:pPr>
        <w:pStyle w:val="BodyText"/>
      </w:pPr>
      <w:r>
        <w:t xml:space="preserve">Critical success factors:</w:t>
      </w:r>
    </w:p>
    <w:p>
      <w:pPr>
        <w:numPr>
          <w:ilvl w:val="0"/>
          <w:numId w:val="1020"/>
        </w:numPr>
      </w:pPr>
      <w:r>
        <w:t xml:space="preserve">Building on existing best practice and experience.</w:t>
      </w:r>
    </w:p>
    <w:p>
      <w:pPr>
        <w:numPr>
          <w:ilvl w:val="0"/>
          <w:numId w:val="1020"/>
        </w:numPr>
      </w:pPr>
      <w:r>
        <w:t xml:space="preserve">Strategic anchoring and genuine involvement – coordination and governance across administrative levels through relevant governing bodies.</w:t>
      </w:r>
    </w:p>
    <w:p>
      <w:pPr>
        <w:numPr>
          <w:ilvl w:val="0"/>
          <w:numId w:val="1020"/>
        </w:numPr>
      </w:pPr>
      <w:r>
        <w:t xml:space="preserve">Quality in the project’s products – without this, attempts at involvement and scaling will fail.</w:t>
      </w:r>
    </w:p>
    <w:p>
      <w:pPr>
        <w:numPr>
          <w:ilvl w:val="0"/>
          <w:numId w:val="1020"/>
        </w:numPr>
      </w:pPr>
      <w:r>
        <w:t xml:space="preserve">The project’s input to changes in legislation to remove legal barriers must be followed up.</w:t>
      </w:r>
    </w:p>
    <w:p>
      <w:pPr>
        <w:numPr>
          <w:ilvl w:val="0"/>
          <w:numId w:val="1020"/>
        </w:numPr>
      </w:pPr>
      <w:r>
        <w:t xml:space="preserve">Holistic approach – not as a desk exercise, but through practical testing.</w:t>
      </w:r>
    </w:p>
    <w:p>
      <w:pPr>
        <w:numPr>
          <w:ilvl w:val="0"/>
          <w:numId w:val="1020"/>
        </w:numPr>
      </w:pPr>
      <w:r>
        <w:t xml:space="preserve">Practical coordination with related initiatives – avoiding unnecessary work.</w:t>
      </w:r>
    </w:p>
    <w:p>
      <w:pPr>
        <w:numPr>
          <w:ilvl w:val="0"/>
          <w:numId w:val="1020"/>
        </w:numPr>
      </w:pPr>
      <w:r>
        <w:t xml:space="preserve">Engaging the best resources – both from partners and others.</w:t>
      </w:r>
    </w:p>
    <w:p>
      <w:pPr>
        <w:numPr>
          <w:ilvl w:val="0"/>
          <w:numId w:val="1020"/>
        </w:numPr>
      </w:pPr>
      <w:r>
        <w:t xml:space="preserve">Collaboration – internally, nationally and internationally.</w:t>
      </w:r>
    </w:p>
    <w:p>
      <w:pPr>
        <w:numPr>
          <w:ilvl w:val="0"/>
          <w:numId w:val="1020"/>
        </w:numPr>
      </w:pPr>
      <w:r>
        <w:t xml:space="preserve">Ongoing knowledge sharing for competence building and dissemination.</w:t>
      </w:r>
    </w:p>
    <w:bookmarkEnd w:id="55"/>
    <w:bookmarkEnd w:id="56"/>
    <w:bookmarkStart w:id="64" w:name="Xf820f1bc0011d243565c75a83bd7f4c0e84d203"/>
    <w:p>
      <w:pPr>
        <w:pStyle w:val="Heading2"/>
      </w:pPr>
      <w:r>
        <w:t xml:space="preserve">K2: Reduced costs for system development and management</w:t>
      </w:r>
    </w:p>
    <w:bookmarkStart w:id="57" w:name="socioeconomic-value-1"/>
    <w:p>
      <w:pPr>
        <w:pStyle w:val="Heading3"/>
      </w:pPr>
      <w:r>
        <w:rPr>
          <w:i/>
          <w:iCs/>
        </w:rPr>
        <w:t xml:space="preserve">Socioeconomic value</w:t>
      </w:r>
    </w:p>
    <w:p>
      <w:pPr>
        <w:pStyle w:val="FirstParagraph"/>
      </w:pPr>
      <w:r>
        <w:t xml:space="preserve">Large.</w:t>
      </w:r>
    </w:p>
    <w:bookmarkEnd w:id="57"/>
    <w:bookmarkStart w:id="58" w:name="what-is-the-beneficial-impact-1"/>
    <w:p>
      <w:pPr>
        <w:pStyle w:val="Heading3"/>
      </w:pPr>
      <w:r>
        <w:rPr>
          <w:i/>
          <w:iCs/>
        </w:rPr>
        <w:t xml:space="preserve">What is the beneficial impact</w:t>
      </w:r>
    </w:p>
    <w:p>
      <w:pPr>
        <w:pStyle w:val="FirstParagraph"/>
      </w:pPr>
      <w:r>
        <w:t xml:space="preserve">Very large potential benefit through significantly reduced need for system development and management of IT solutions.</w:t>
      </w:r>
    </w:p>
    <w:bookmarkEnd w:id="58"/>
    <w:bookmarkStart w:id="59" w:name="who-does-the-benefit-arise-for-1"/>
    <w:p>
      <w:pPr>
        <w:pStyle w:val="Heading3"/>
      </w:pPr>
      <w:r>
        <w:rPr>
          <w:i/>
          <w:iCs/>
        </w:rPr>
        <w:t xml:space="preserve">Who does the benefit arise for</w:t>
      </w:r>
    </w:p>
    <w:p>
      <w:pPr>
        <w:pStyle w:val="FirstParagraph"/>
      </w:pPr>
      <w:r>
        <w:t xml:space="preserve">All stakeholders in digital services for which the public sector is responsible.</w:t>
      </w:r>
    </w:p>
    <w:bookmarkEnd w:id="59"/>
    <w:bookmarkStart w:id="60" w:name="how-does-the-beneficial-impact-arise-1"/>
    <w:p>
      <w:pPr>
        <w:pStyle w:val="Heading3"/>
      </w:pPr>
      <w:r>
        <w:rPr>
          <w:i/>
          <w:iCs/>
        </w:rPr>
        <w:t xml:space="preserve">How does the beneficial impact arise</w:t>
      </w:r>
    </w:p>
    <w:p>
      <w:pPr>
        <w:pStyle w:val="FirstParagraph"/>
      </w:pPr>
      <w:r>
        <w:t xml:space="preserve">Important elements in this picture that produce effects are:</w:t>
      </w:r>
    </w:p>
    <w:p>
      <w:pPr>
        <w:numPr>
          <w:ilvl w:val="0"/>
          <w:numId w:val="1021"/>
        </w:numPr>
      </w:pPr>
      <w:r>
        <w:t xml:space="preserve">Reduced number of integrations: Integrations are made against standardised information models and interfaces in a middleware layer, decoupled from details of how data is stored or structured internally by interoperability partners.</w:t>
      </w:r>
    </w:p>
    <w:p>
      <w:pPr>
        <w:numPr>
          <w:ilvl w:val="0"/>
          <w:numId w:val="1021"/>
        </w:numPr>
      </w:pPr>
      <w:r>
        <w:t xml:space="preserve">Reduced number of systems/solutions: Reusable solutions or common solutions instead of local customisation of specialist systems. Common information models and standardised interfaces make it possible to develop shared specialist systems or components and services without regard to how data is stored locally in each municipality. Generic solutions can be adapted to local conditions at far lower cost than the alternative of having each municipality (or municipal cooperative) maintain its own solutions.</w:t>
      </w:r>
    </w:p>
    <w:p>
      <w:pPr>
        <w:numPr>
          <w:ilvl w:val="0"/>
          <w:numId w:val="1021"/>
        </w:numPr>
      </w:pPr>
      <w:r>
        <w:t xml:space="preserve">Less need for adaptations in end-user systems: End-user systems access data through the</w:t>
      </w:r>
      <w:r>
        <w:t xml:space="preserve"> </w:t>
      </w:r>
      <w:r>
        <w:t xml:space="preserve">“middleware layer”</w:t>
      </w:r>
      <w:r>
        <w:t xml:space="preserve"> </w:t>
      </w:r>
      <w:r>
        <w:t xml:space="preserve">without necessarily needing to be adapted when changes occur in how data is stored or represented by others.</w:t>
      </w:r>
    </w:p>
    <w:bookmarkEnd w:id="60"/>
    <w:bookmarkStart w:id="61" w:name="uncertainty-assessment-1"/>
    <w:p>
      <w:pPr>
        <w:pStyle w:val="Heading3"/>
      </w:pPr>
      <w:r>
        <w:rPr>
          <w:i/>
          <w:iCs/>
        </w:rPr>
        <w:t xml:space="preserve">Uncertainty assessment</w:t>
      </w:r>
    </w:p>
    <w:p>
      <w:pPr>
        <w:pStyle w:val="FirstParagraph"/>
      </w:pPr>
      <w:r>
        <w:t xml:space="preserve">Medium.</w:t>
      </w:r>
    </w:p>
    <w:bookmarkEnd w:id="61"/>
    <w:bookmarkStart w:id="62" w:name="rationale-for-uncertainty-assessment-1"/>
    <w:p>
      <w:pPr>
        <w:pStyle w:val="Heading3"/>
      </w:pPr>
      <w:r>
        <w:rPr>
          <w:i/>
          <w:iCs/>
        </w:rPr>
        <w:t xml:space="preserve">Rationale for uncertainty assessment</w:t>
      </w:r>
    </w:p>
    <w:p>
      <w:pPr>
        <w:pStyle w:val="FirstParagraph"/>
      </w:pPr>
      <w:r>
        <w:t xml:space="preserve">Significant effects can be achieved, even if the project only succeeds within limited areas.</w:t>
      </w:r>
    </w:p>
    <w:bookmarkEnd w:id="62"/>
    <w:bookmarkStart w:id="63" w:name="preconditions-1"/>
    <w:p>
      <w:pPr>
        <w:pStyle w:val="Heading3"/>
      </w:pPr>
      <w:r>
        <w:rPr>
          <w:i/>
          <w:iCs/>
        </w:rPr>
        <w:t xml:space="preserve">Preconditions</w:t>
      </w:r>
    </w:p>
    <w:p>
      <w:pPr>
        <w:pStyle w:val="FirstParagraph"/>
      </w:pPr>
      <w:r>
        <w:t xml:space="preserve">This works when data from relevant interoperability partners is available through common information models and standardised APIs. Requirements or guidelines for compliance with standards and best practice will be important for this to happen in practice.</w:t>
      </w:r>
    </w:p>
    <w:p>
      <w:pPr>
        <w:pStyle w:val="BodyText"/>
      </w:pPr>
      <w:r>
        <w:rPr>
          <w:i/>
          <w:iCs/>
        </w:rPr>
        <w:t xml:space="preserve">Note: We have monetised the impacts for part of this picture (conservative estimates).</w:t>
      </w:r>
    </w:p>
    <w:bookmarkEnd w:id="63"/>
    <w:bookmarkEnd w:id="64"/>
    <w:bookmarkStart w:id="72" w:name="k3-seamless-user-journeys"/>
    <w:p>
      <w:pPr>
        <w:pStyle w:val="Heading2"/>
      </w:pPr>
      <w:r>
        <w:t xml:space="preserve">K3: Seamless user journeys</w:t>
      </w:r>
    </w:p>
    <w:bookmarkStart w:id="65" w:name="socioeconomic-value-2"/>
    <w:p>
      <w:pPr>
        <w:pStyle w:val="Heading3"/>
      </w:pPr>
      <w:r>
        <w:rPr>
          <w:i/>
          <w:iCs/>
        </w:rPr>
        <w:t xml:space="preserve">Socioeconomic value</w:t>
      </w:r>
    </w:p>
    <w:p>
      <w:pPr>
        <w:pStyle w:val="FirstParagraph"/>
      </w:pPr>
      <w:r>
        <w:t xml:space="preserve">Very large.</w:t>
      </w:r>
    </w:p>
    <w:bookmarkEnd w:id="65"/>
    <w:bookmarkStart w:id="66" w:name="what-is-the-beneficial-impact-2"/>
    <w:p>
      <w:pPr>
        <w:pStyle w:val="Heading3"/>
      </w:pPr>
      <w:r>
        <w:rPr>
          <w:i/>
          <w:iCs/>
        </w:rPr>
        <w:t xml:space="preserve">What is the beneficial impact</w:t>
      </w:r>
    </w:p>
    <w:p>
      <w:pPr>
        <w:pStyle w:val="FirstParagraph"/>
      </w:pPr>
      <w:r>
        <w:t xml:space="preserve">Citizens and employees experience more seamless and holistic services across the state and municipalities, with fewer, simpler and more relevant contact points.</w:t>
      </w:r>
    </w:p>
    <w:bookmarkEnd w:id="66"/>
    <w:bookmarkStart w:id="67" w:name="who-does-the-benefit-arise-for-2"/>
    <w:p>
      <w:pPr>
        <w:pStyle w:val="Heading3"/>
      </w:pPr>
      <w:r>
        <w:rPr>
          <w:i/>
          <w:iCs/>
        </w:rPr>
        <w:t xml:space="preserve">Who does the benefit arise for</w:t>
      </w:r>
    </w:p>
    <w:p>
      <w:pPr>
        <w:pStyle w:val="FirstParagraph"/>
      </w:pPr>
      <w:r>
        <w:t xml:space="preserve">Citizens – here primarily guardians, children, pupils and students – receive more seamless and simple services. Employees in the administration gain better information flow and less manual follow-up. Businesses and providers gain lower integration costs and greater reuse of data and services.</w:t>
      </w:r>
    </w:p>
    <w:bookmarkEnd w:id="67"/>
    <w:bookmarkStart w:id="68" w:name="how-does-the-beneficial-impact-arise-2"/>
    <w:p>
      <w:pPr>
        <w:pStyle w:val="Heading3"/>
      </w:pPr>
      <w:r>
        <w:rPr>
          <w:i/>
          <w:iCs/>
        </w:rPr>
        <w:t xml:space="preserve">How does the beneficial impact arise</w:t>
      </w:r>
    </w:p>
    <w:p>
      <w:pPr>
        <w:pStyle w:val="FirstParagraph"/>
      </w:pPr>
      <w:r>
        <w:t xml:space="preserve">A standardised</w:t>
      </w:r>
      <w:r>
        <w:t xml:space="preserve"> </w:t>
      </w:r>
      <w:r>
        <w:t xml:space="preserve">“middleware layer”</w:t>
      </w:r>
      <w:r>
        <w:t xml:space="preserve"> </w:t>
      </w:r>
      <w:r>
        <w:t xml:space="preserve">shields users from the complexity of the system and actor landscape. User journeys are supported through sharing and reuse of data and services, based on common concepts, event models and catalogues.</w:t>
      </w:r>
    </w:p>
    <w:bookmarkEnd w:id="68"/>
    <w:bookmarkStart w:id="69" w:name="uncertainty-assessment-2"/>
    <w:p>
      <w:pPr>
        <w:pStyle w:val="Heading3"/>
      </w:pPr>
      <w:r>
        <w:rPr>
          <w:i/>
          <w:iCs/>
        </w:rPr>
        <w:t xml:space="preserve">Uncertainty assessment</w:t>
      </w:r>
    </w:p>
    <w:p>
      <w:pPr>
        <w:pStyle w:val="FirstParagraph"/>
      </w:pPr>
      <w:r>
        <w:t xml:space="preserve">Medium.</w:t>
      </w:r>
    </w:p>
    <w:bookmarkEnd w:id="69"/>
    <w:bookmarkStart w:id="70" w:name="rationale-for-uncertainty-assessment-2"/>
    <w:p>
      <w:pPr>
        <w:pStyle w:val="Heading3"/>
      </w:pPr>
      <w:r>
        <w:rPr>
          <w:i/>
          <w:iCs/>
        </w:rPr>
        <w:t xml:space="preserve">Rationale for uncertainty assessment</w:t>
      </w:r>
    </w:p>
    <w:p>
      <w:pPr>
        <w:pStyle w:val="FirstParagraph"/>
      </w:pPr>
      <w:r>
        <w:t xml:space="preserve">There is some uncertainty related to benefit realisation, since seamless user journeys require coordination between many actors and sectors. The risk particularly concerns practical coordination and actual use of common models, interfaces and catalogues across administrative levels.</w:t>
      </w:r>
    </w:p>
    <w:bookmarkEnd w:id="70"/>
    <w:bookmarkStart w:id="71" w:name="preconditions-2"/>
    <w:p>
      <w:pPr>
        <w:pStyle w:val="Heading3"/>
      </w:pPr>
      <w:r>
        <w:rPr>
          <w:i/>
          <w:iCs/>
        </w:rPr>
        <w:t xml:space="preserve">Preconditions</w:t>
      </w:r>
    </w:p>
    <w:p>
      <w:pPr>
        <w:pStyle w:val="FirstParagraph"/>
      </w:pPr>
      <w:r>
        <w:t xml:space="preserve">A common service catalogue and information models must be adopted. The actors must coordinate the development and management of interfaces and events, and the middleware layer must be established and anchored as a national solution.</w:t>
      </w:r>
    </w:p>
    <w:bookmarkEnd w:id="71"/>
    <w:bookmarkEnd w:id="72"/>
    <w:bookmarkStart w:id="80" w:name="X206c1f854b9034c4bf4f142cf9793708a3dba6d"/>
    <w:p>
      <w:pPr>
        <w:pStyle w:val="Heading2"/>
      </w:pPr>
      <w:r>
        <w:t xml:space="preserve">K4: Seamless transitions between municipalities</w:t>
      </w:r>
    </w:p>
    <w:bookmarkStart w:id="73" w:name="socioeconomic-value-3"/>
    <w:p>
      <w:pPr>
        <w:pStyle w:val="Heading3"/>
      </w:pPr>
      <w:r>
        <w:rPr>
          <w:i/>
          <w:iCs/>
        </w:rPr>
        <w:t xml:space="preserve">Socioeconomic value</w:t>
      </w:r>
    </w:p>
    <w:p>
      <w:pPr>
        <w:pStyle w:val="FirstParagraph"/>
      </w:pPr>
      <w:r>
        <w:t xml:space="preserve">Very large.</w:t>
      </w:r>
    </w:p>
    <w:bookmarkEnd w:id="73"/>
    <w:bookmarkStart w:id="74" w:name="what-is-the-beneficial-impact-3"/>
    <w:p>
      <w:pPr>
        <w:pStyle w:val="Heading3"/>
      </w:pPr>
      <w:r>
        <w:rPr>
          <w:i/>
          <w:iCs/>
        </w:rPr>
        <w:t xml:space="preserve">What is the beneficial impact</w:t>
      </w:r>
    </w:p>
    <w:p>
      <w:pPr>
        <w:pStyle w:val="FirstParagraph"/>
      </w:pPr>
      <w:r>
        <w:t xml:space="preserve">Citizens and employees experience more seamless transitions and more consistent services between municipalities. Users receive equivalent services regardless of where they live, and avoid having to restart processes when moving or when dealing with multiple municipalities.</w:t>
      </w:r>
    </w:p>
    <w:bookmarkEnd w:id="74"/>
    <w:bookmarkStart w:id="75" w:name="who-does-the-benefit-arise-for-3"/>
    <w:p>
      <w:pPr>
        <w:pStyle w:val="Heading3"/>
      </w:pPr>
      <w:r>
        <w:rPr>
          <w:i/>
          <w:iCs/>
        </w:rPr>
        <w:t xml:space="preserve">Who does the benefit arise for</w:t>
      </w:r>
    </w:p>
    <w:p>
      <w:pPr>
        <w:pStyle w:val="FirstParagraph"/>
      </w:pPr>
      <w:r>
        <w:t xml:space="preserve">Children, pupils, guardians and teachers receive more equivalent services and seamless transitions when they move between municipalities or receive support from multiple agencies. Case workers and professionals in kindergartens, schools, PPT (educational psychology service) and follow-up services gain better conditions for collaboration and reuse of information. Municipalities gain lower development costs, better compliance and simpler cross-municipal collaboration.</w:t>
      </w:r>
    </w:p>
    <w:bookmarkEnd w:id="75"/>
    <w:bookmarkStart w:id="76" w:name="how-does-the-beneficial-impact-arise-3"/>
    <w:p>
      <w:pPr>
        <w:pStyle w:val="Heading3"/>
      </w:pPr>
      <w:r>
        <w:rPr>
          <w:i/>
          <w:iCs/>
        </w:rPr>
        <w:t xml:space="preserve">How does the beneficial impact arise</w:t>
      </w:r>
    </w:p>
    <w:p>
      <w:pPr>
        <w:pStyle w:val="FirstParagraph"/>
      </w:pPr>
      <w:r>
        <w:t xml:space="preserve">By adopting a national service catalogue with common service types and associated datasets, municipalities can offer standardised services with local adaptation. The use of common information models and event descriptions makes it easier to share and understand data and services across administrative units.</w:t>
      </w:r>
    </w:p>
    <w:bookmarkEnd w:id="76"/>
    <w:bookmarkStart w:id="77" w:name="uncertainty-assessment-3"/>
    <w:p>
      <w:pPr>
        <w:pStyle w:val="Heading3"/>
      </w:pPr>
      <w:r>
        <w:rPr>
          <w:i/>
          <w:iCs/>
        </w:rPr>
        <w:t xml:space="preserve">Uncertainty assessment</w:t>
      </w:r>
    </w:p>
    <w:p>
      <w:pPr>
        <w:pStyle w:val="FirstParagraph"/>
      </w:pPr>
      <w:r>
        <w:t xml:space="preserve">Medium.</w:t>
      </w:r>
    </w:p>
    <w:bookmarkEnd w:id="77"/>
    <w:bookmarkStart w:id="78" w:name="rationale-for-uncertainty-assessment-3"/>
    <w:p>
      <w:pPr>
        <w:pStyle w:val="Heading3"/>
      </w:pPr>
      <w:r>
        <w:rPr>
          <w:i/>
          <w:iCs/>
        </w:rPr>
        <w:t xml:space="preserve">Rationale for uncertainty assessment</w:t>
      </w:r>
    </w:p>
    <w:p>
      <w:pPr>
        <w:pStyle w:val="FirstParagraph"/>
      </w:pPr>
      <w:r>
        <w:t xml:space="preserve">There is moderate uncertainty. The benefit requires that many municipalities actually adopt common service models and data descriptions in their solutions and practices. Varying digital maturity and local priorities may lead to variation in implementation, and thus reduced impact.</w:t>
      </w:r>
    </w:p>
    <w:bookmarkEnd w:id="78"/>
    <w:bookmarkStart w:id="79" w:name="preconditions-3"/>
    <w:p>
      <w:pPr>
        <w:pStyle w:val="Heading3"/>
      </w:pPr>
      <w:r>
        <w:rPr>
          <w:i/>
          <w:iCs/>
        </w:rPr>
        <w:t xml:space="preserve">Preconditions</w:t>
      </w:r>
    </w:p>
    <w:p>
      <w:pPr>
        <w:pStyle w:val="FirstParagraph"/>
      </w:pPr>
      <w:r>
        <w:t xml:space="preserve">Municipalities must adopt common models, metadata and catalogue services, and contribute to coordinated development and maintenance. The framework must support variation in solutions while ensuring semantic and functional equivalence in services.</w:t>
      </w:r>
    </w:p>
    <w:bookmarkEnd w:id="79"/>
    <w:bookmarkEnd w:id="80"/>
    <w:bookmarkStart w:id="88" w:name="k5-efficient-case-processing"/>
    <w:p>
      <w:pPr>
        <w:pStyle w:val="Heading2"/>
      </w:pPr>
      <w:r>
        <w:t xml:space="preserve">K5: Efficient case processing</w:t>
      </w:r>
    </w:p>
    <w:bookmarkStart w:id="81" w:name="socioeconomic-value-4"/>
    <w:p>
      <w:pPr>
        <w:pStyle w:val="Heading3"/>
      </w:pPr>
      <w:r>
        <w:rPr>
          <w:i/>
          <w:iCs/>
        </w:rPr>
        <w:t xml:space="preserve">Socioeconomic value</w:t>
      </w:r>
    </w:p>
    <w:p>
      <w:pPr>
        <w:pStyle w:val="FirstParagraph"/>
      </w:pPr>
      <w:r>
        <w:t xml:space="preserve">Large.</w:t>
      </w:r>
    </w:p>
    <w:bookmarkEnd w:id="81"/>
    <w:bookmarkStart w:id="82" w:name="what-is-the-beneficial-impact-4"/>
    <w:p>
      <w:pPr>
        <w:pStyle w:val="Heading3"/>
      </w:pPr>
      <w:r>
        <w:rPr>
          <w:i/>
          <w:iCs/>
        </w:rPr>
        <w:t xml:space="preserve">What is the beneficial impact</w:t>
      </w:r>
    </w:p>
    <w:p>
      <w:pPr>
        <w:pStyle w:val="FirstParagraph"/>
      </w:pPr>
      <w:r>
        <w:t xml:space="preserve">Processing times are reduced, particularly in appeals cases and complex cases involving many actors.</w:t>
      </w:r>
    </w:p>
    <w:bookmarkEnd w:id="82"/>
    <w:bookmarkStart w:id="83" w:name="who-does-the-benefit-arise-for-4"/>
    <w:p>
      <w:pPr>
        <w:pStyle w:val="Heading3"/>
      </w:pPr>
      <w:r>
        <w:rPr>
          <w:i/>
          <w:iCs/>
        </w:rPr>
        <w:t xml:space="preserve">Who does the benefit arise for</w:t>
      </w:r>
    </w:p>
    <w:p>
      <w:pPr>
        <w:pStyle w:val="FirstParagraph"/>
      </w:pPr>
      <w:r>
        <w:t xml:space="preserve">Guardians and pupils affected by case processing, as well as employees and management in municipalities, county councils and the county governor administration responsible for appeal and decision-making processes in childcare and education.</w:t>
      </w:r>
    </w:p>
    <w:bookmarkEnd w:id="83"/>
    <w:bookmarkStart w:id="84" w:name="how-does-the-beneficial-impact-arise-4"/>
    <w:p>
      <w:pPr>
        <w:pStyle w:val="Heading3"/>
      </w:pPr>
      <w:r>
        <w:rPr>
          <w:i/>
          <w:iCs/>
        </w:rPr>
        <w:t xml:space="preserve">How does the beneficial impact arise</w:t>
      </w:r>
    </w:p>
    <w:p>
      <w:pPr>
        <w:pStyle w:val="FirstParagraph"/>
      </w:pPr>
      <w:r>
        <w:t xml:space="preserve">Better data quality and structured sharing reduces the need for manual retrieval, assessment and clarification of information.</w:t>
      </w:r>
    </w:p>
    <w:bookmarkEnd w:id="84"/>
    <w:bookmarkStart w:id="85" w:name="uncertainty-assessment-4"/>
    <w:p>
      <w:pPr>
        <w:pStyle w:val="Heading3"/>
      </w:pPr>
      <w:r>
        <w:rPr>
          <w:i/>
          <w:iCs/>
        </w:rPr>
        <w:t xml:space="preserve">Uncertainty assessment</w:t>
      </w:r>
    </w:p>
    <w:p>
      <w:pPr>
        <w:pStyle w:val="FirstParagraph"/>
      </w:pPr>
      <w:r>
        <w:t xml:space="preserve">Medium.</w:t>
      </w:r>
    </w:p>
    <w:bookmarkEnd w:id="85"/>
    <w:bookmarkStart w:id="86" w:name="rationale-for-uncertainty-assessment-4"/>
    <w:p>
      <w:pPr>
        <w:pStyle w:val="Heading3"/>
      </w:pPr>
      <w:r>
        <w:rPr>
          <w:i/>
          <w:iCs/>
        </w:rPr>
        <w:t xml:space="preserve">Rationale for uncertainty assessment</w:t>
      </w:r>
    </w:p>
    <w:p>
      <w:pPr>
        <w:pStyle w:val="FirstParagraph"/>
      </w:pPr>
      <w:r>
        <w:t xml:space="preserve">The benefit requires that relevant actors actually adopt common information models and solutions for data sharing in case processing. There is some uncertainty related to willingness to change, maturity and capacity in the municipal sector.</w:t>
      </w:r>
    </w:p>
    <w:bookmarkEnd w:id="86"/>
    <w:bookmarkStart w:id="87" w:name="preconditions-4"/>
    <w:p>
      <w:pPr>
        <w:pStyle w:val="Heading3"/>
      </w:pPr>
      <w:r>
        <w:rPr>
          <w:i/>
          <w:iCs/>
        </w:rPr>
        <w:t xml:space="preserve">Preconditions</w:t>
      </w:r>
    </w:p>
    <w:p>
      <w:pPr>
        <w:pStyle w:val="FirstParagraph"/>
      </w:pPr>
      <w:r>
        <w:t xml:space="preserve">Cross-cutting data access, common information models and authoritative data sources must be available and in use.</w:t>
      </w:r>
    </w:p>
    <w:bookmarkEnd w:id="87"/>
    <w:bookmarkEnd w:id="88"/>
    <w:bookmarkStart w:id="96" w:name="k6-better-information-security"/>
    <w:p>
      <w:pPr>
        <w:pStyle w:val="Heading2"/>
      </w:pPr>
      <w:r>
        <w:t xml:space="preserve">K6: Better information security</w:t>
      </w:r>
    </w:p>
    <w:bookmarkStart w:id="89" w:name="socioeconomic-value-5"/>
    <w:p>
      <w:pPr>
        <w:pStyle w:val="Heading3"/>
      </w:pPr>
      <w:r>
        <w:rPr>
          <w:i/>
          <w:iCs/>
        </w:rPr>
        <w:t xml:space="preserve">Socioeconomic value</w:t>
      </w:r>
    </w:p>
    <w:p>
      <w:pPr>
        <w:pStyle w:val="FirstParagraph"/>
      </w:pPr>
      <w:r>
        <w:t xml:space="preserve">Very large.</w:t>
      </w:r>
    </w:p>
    <w:bookmarkEnd w:id="89"/>
    <w:bookmarkStart w:id="90" w:name="what-is-the-beneficial-impact-5"/>
    <w:p>
      <w:pPr>
        <w:pStyle w:val="Heading3"/>
      </w:pPr>
      <w:r>
        <w:rPr>
          <w:i/>
          <w:iCs/>
        </w:rPr>
        <w:t xml:space="preserve">What is the beneficial impact</w:t>
      </w:r>
    </w:p>
    <w:p>
      <w:pPr>
        <w:pStyle w:val="FirstParagraph"/>
      </w:pPr>
      <w:r>
        <w:t xml:space="preserve">Information security and privacy are strengthened by fewer copies of data needing to be stored and secured locally. The risk of misuse or unauthorised access is reduced.</w:t>
      </w:r>
    </w:p>
    <w:bookmarkEnd w:id="90"/>
    <w:bookmarkStart w:id="91" w:name="who-does-the-benefit-arise-for-5"/>
    <w:p>
      <w:pPr>
        <w:pStyle w:val="Heading3"/>
      </w:pPr>
      <w:r>
        <w:rPr>
          <w:i/>
          <w:iCs/>
        </w:rPr>
        <w:t xml:space="preserve">Who does the benefit arise for</w:t>
      </w:r>
    </w:p>
    <w:p>
      <w:pPr>
        <w:pStyle w:val="FirstParagraph"/>
      </w:pPr>
      <w:r>
        <w:t xml:space="preserve">Citizens receive better privacy. Businesses and providers receive simpler and more secure data processing, with fewer copies and better access management. Security and compliance work is simplified for the administration.</w:t>
      </w:r>
    </w:p>
    <w:bookmarkEnd w:id="91"/>
    <w:bookmarkStart w:id="92" w:name="how-does-the-beneficial-impact-arise-5"/>
    <w:p>
      <w:pPr>
        <w:pStyle w:val="Heading3"/>
      </w:pPr>
      <w:r>
        <w:rPr>
          <w:i/>
          <w:iCs/>
        </w:rPr>
        <w:t xml:space="preserve">How does the beneficial impact arise</w:t>
      </w:r>
    </w:p>
    <w:p>
      <w:pPr>
        <w:pStyle w:val="FirstParagraph"/>
      </w:pPr>
      <w:r>
        <w:t xml:space="preserve">When data is accessed where it is owned through standardised services and the middleware layer, access management and logging can be handled more consistently. Access can be managed once for all, for types of data or services, instead of being configured many times against local data and services.</w:t>
      </w:r>
    </w:p>
    <w:bookmarkEnd w:id="92"/>
    <w:bookmarkStart w:id="93" w:name="uncertainty-assessment-5"/>
    <w:p>
      <w:pPr>
        <w:pStyle w:val="Heading3"/>
      </w:pPr>
      <w:r>
        <w:rPr>
          <w:i/>
          <w:iCs/>
        </w:rPr>
        <w:t xml:space="preserve">Uncertainty assessment</w:t>
      </w:r>
    </w:p>
    <w:p>
      <w:pPr>
        <w:pStyle w:val="FirstParagraph"/>
      </w:pPr>
      <w:r>
        <w:t xml:space="preserve">Low.</w:t>
      </w:r>
    </w:p>
    <w:bookmarkEnd w:id="93"/>
    <w:bookmarkStart w:id="94" w:name="rationale-for-uncertainty-assessment-5"/>
    <w:p>
      <w:pPr>
        <w:pStyle w:val="Heading3"/>
      </w:pPr>
      <w:r>
        <w:rPr>
          <w:i/>
          <w:iCs/>
        </w:rPr>
        <w:t xml:space="preserve">Rationale for uncertainty assessment</w:t>
      </w:r>
    </w:p>
    <w:p>
      <w:pPr>
        <w:pStyle w:val="FirstParagraph"/>
      </w:pPr>
      <w:r>
        <w:t xml:space="preserve">There is low to medium uncertainty. The benefit requires that organisations actually adopt standardised data services and the middleware layer’s mechanisms for access management and logging. The uncertainty primarily lies in organisational anchoring and technical implementation by partners.</w:t>
      </w:r>
    </w:p>
    <w:bookmarkEnd w:id="94"/>
    <w:bookmarkStart w:id="95" w:name="preconditions-5"/>
    <w:p>
      <w:pPr>
        <w:pStyle w:val="Heading3"/>
      </w:pPr>
      <w:r>
        <w:rPr>
          <w:i/>
          <w:iCs/>
        </w:rPr>
        <w:t xml:space="preserve">Preconditions</w:t>
      </w:r>
    </w:p>
    <w:p>
      <w:pPr>
        <w:pStyle w:val="FirstParagraph"/>
      </w:pPr>
      <w:r>
        <w:t xml:space="preserve">The</w:t>
      </w:r>
      <w:r>
        <w:t xml:space="preserve"> </w:t>
      </w:r>
      <w:r>
        <w:t xml:space="preserve">“middleware layer”</w:t>
      </w:r>
      <w:r>
        <w:t xml:space="preserve"> </w:t>
      </w:r>
      <w:r>
        <w:t xml:space="preserve">must be established with support for central access management, and organisations must adopt standardised data services and descriptions in service and data catalogues.</w:t>
      </w:r>
    </w:p>
    <w:bookmarkEnd w:id="95"/>
    <w:bookmarkEnd w:id="96"/>
    <w:bookmarkStart w:id="104" w:name="k7-environmental-benefits"/>
    <w:p>
      <w:pPr>
        <w:pStyle w:val="Heading2"/>
      </w:pPr>
      <w:r>
        <w:t xml:space="preserve">K7: Environmental benefits</w:t>
      </w:r>
    </w:p>
    <w:bookmarkStart w:id="97" w:name="socioeconomic-value-6"/>
    <w:p>
      <w:pPr>
        <w:pStyle w:val="Heading3"/>
      </w:pPr>
      <w:r>
        <w:rPr>
          <w:i/>
          <w:iCs/>
        </w:rPr>
        <w:t xml:space="preserve">Socioeconomic value</w:t>
      </w:r>
    </w:p>
    <w:p>
      <w:pPr>
        <w:pStyle w:val="FirstParagraph"/>
      </w:pPr>
      <w:r>
        <w:t xml:space="preserve">Medium.</w:t>
      </w:r>
    </w:p>
    <w:bookmarkEnd w:id="97"/>
    <w:bookmarkStart w:id="98" w:name="what-is-the-beneficial-impact-6"/>
    <w:p>
      <w:pPr>
        <w:pStyle w:val="Heading3"/>
      </w:pPr>
      <w:r>
        <w:rPr>
          <w:i/>
          <w:iCs/>
        </w:rPr>
        <w:t xml:space="preserve">What is the beneficial impact</w:t>
      </w:r>
    </w:p>
    <w:p>
      <w:pPr>
        <w:pStyle w:val="FirstParagraph"/>
      </w:pPr>
      <w:r>
        <w:t xml:space="preserve">The environmental footprint from public data processing is reduced through less need to copy, move and store large volumes of data locally across various organisations.</w:t>
      </w:r>
    </w:p>
    <w:bookmarkEnd w:id="98"/>
    <w:bookmarkStart w:id="99" w:name="who-does-the-benefit-arise-for-6"/>
    <w:p>
      <w:pPr>
        <w:pStyle w:val="Heading3"/>
      </w:pPr>
      <w:r>
        <w:rPr>
          <w:i/>
          <w:iCs/>
        </w:rPr>
        <w:t xml:space="preserve">Who does the benefit arise for</w:t>
      </w:r>
    </w:p>
    <w:p>
      <w:pPr>
        <w:pStyle w:val="FirstParagraph"/>
      </w:pPr>
      <w:r>
        <w:t xml:space="preserve">Society and the environment benefit in the form of reduced resource use related to energy consumption, cooling and physical infrastructure for data storage. The benefit arises indirectly for citizens and businesses through lower environmental impact from digital administration.</w:t>
      </w:r>
    </w:p>
    <w:bookmarkEnd w:id="99"/>
    <w:bookmarkStart w:id="100" w:name="how-does-the-beneficial-impact-arise-6"/>
    <w:p>
      <w:pPr>
        <w:pStyle w:val="Heading3"/>
      </w:pPr>
      <w:r>
        <w:rPr>
          <w:i/>
          <w:iCs/>
        </w:rPr>
        <w:t xml:space="preserve">How does the beneficial impact arise</w:t>
      </w:r>
    </w:p>
    <w:p>
      <w:pPr>
        <w:pStyle w:val="FirstParagraph"/>
      </w:pPr>
      <w:r>
        <w:t xml:space="preserve">By adopting data virtualisation and a common middleware layer, data can be accessed where it is owned, instead of being copied and stored in multiple silos. This reduces the need for storage, transmission and operation of duplicated data sources – resulting in lower energy use and IT footprint.</w:t>
      </w:r>
    </w:p>
    <w:bookmarkEnd w:id="100"/>
    <w:bookmarkStart w:id="101" w:name="uncertainty-assessment-6"/>
    <w:p>
      <w:pPr>
        <w:pStyle w:val="Heading3"/>
      </w:pPr>
      <w:r>
        <w:rPr>
          <w:i/>
          <w:iCs/>
        </w:rPr>
        <w:t xml:space="preserve">Uncertainty assessment</w:t>
      </w:r>
    </w:p>
    <w:p>
      <w:pPr>
        <w:pStyle w:val="FirstParagraph"/>
      </w:pPr>
      <w:r>
        <w:t xml:space="preserve">Medium.</w:t>
      </w:r>
    </w:p>
    <w:bookmarkEnd w:id="101"/>
    <w:bookmarkStart w:id="102" w:name="rationale-for-uncertainty-assessment-6"/>
    <w:p>
      <w:pPr>
        <w:pStyle w:val="Heading3"/>
      </w:pPr>
      <w:r>
        <w:rPr>
          <w:i/>
          <w:iCs/>
        </w:rPr>
        <w:t xml:space="preserve">Rationale for uncertainty assessment</w:t>
      </w:r>
    </w:p>
    <w:p>
      <w:pPr>
        <w:pStyle w:val="FirstParagraph"/>
      </w:pPr>
      <w:r>
        <w:t xml:space="preserve">There is moderate uncertainty. Environmental benefits require an actual reduction in the number of copied and stored datasets in the public sector. Even though the architecture facilitates data virtualisation, the benefit will not be realised if organisations continue to create local copies of data for operational, control or historical reasons.</w:t>
      </w:r>
    </w:p>
    <w:bookmarkEnd w:id="102"/>
    <w:bookmarkStart w:id="103" w:name="preconditions-6"/>
    <w:p>
      <w:pPr>
        <w:pStyle w:val="Heading3"/>
      </w:pPr>
      <w:r>
        <w:rPr>
          <w:i/>
          <w:iCs/>
        </w:rPr>
        <w:t xml:space="preserve">Preconditions</w:t>
      </w:r>
    </w:p>
    <w:p>
      <w:pPr>
        <w:pStyle w:val="FirstParagraph"/>
      </w:pPr>
      <w:r>
        <w:t xml:space="preserve">Organisations must use data virtualisation and the</w:t>
      </w:r>
      <w:r>
        <w:t xml:space="preserve"> </w:t>
      </w:r>
      <w:r>
        <w:t xml:space="preserve">“middleware layer”</w:t>
      </w:r>
      <w:r>
        <w:t xml:space="preserve"> </w:t>
      </w:r>
      <w:r>
        <w:t xml:space="preserve">as the primary means of accessing data, and refrain from unnecessary copying. This requires trust in the availability, performance and security of the infrastructure, as well as clear guidelines for the use of common data services.</w:t>
      </w:r>
    </w:p>
    <w:bookmarkEnd w:id="103"/>
    <w:bookmarkEnd w:id="104"/>
    <w:bookmarkStart w:id="112" w:name="k8-better-cross-sectoral-collaboration"/>
    <w:p>
      <w:pPr>
        <w:pStyle w:val="Heading2"/>
      </w:pPr>
      <w:r>
        <w:t xml:space="preserve">K8: Better cross-sectoral collaboration</w:t>
      </w:r>
    </w:p>
    <w:bookmarkStart w:id="105" w:name="socioeconomic-value-7"/>
    <w:p>
      <w:pPr>
        <w:pStyle w:val="Heading3"/>
      </w:pPr>
      <w:r>
        <w:rPr>
          <w:i/>
          <w:iCs/>
        </w:rPr>
        <w:t xml:space="preserve">Socioeconomic value</w:t>
      </w:r>
    </w:p>
    <w:p>
      <w:pPr>
        <w:pStyle w:val="FirstParagraph"/>
      </w:pPr>
      <w:r>
        <w:t xml:space="preserve">Medium.</w:t>
      </w:r>
    </w:p>
    <w:bookmarkEnd w:id="105"/>
    <w:bookmarkStart w:id="106" w:name="what-is-the-beneficial-impact-7"/>
    <w:p>
      <w:pPr>
        <w:pStyle w:val="Heading3"/>
      </w:pPr>
      <w:r>
        <w:rPr>
          <w:i/>
          <w:iCs/>
        </w:rPr>
        <w:t xml:space="preserve">What is the beneficial impact</w:t>
      </w:r>
    </w:p>
    <w:p>
      <w:pPr>
        <w:pStyle w:val="FirstParagraph"/>
      </w:pPr>
      <w:r>
        <w:t xml:space="preserve">Collaboration between state, municipal and private actors is strengthened through clear roles and responsibilities, a common vocabulary, and coordinated development of services and data sharing.</w:t>
      </w:r>
    </w:p>
    <w:bookmarkEnd w:id="106"/>
    <w:bookmarkStart w:id="107" w:name="who-does-the-benefit-arise-for-7"/>
    <w:p>
      <w:pPr>
        <w:pStyle w:val="Heading3"/>
      </w:pPr>
      <w:r>
        <w:rPr>
          <w:i/>
          <w:iCs/>
        </w:rPr>
        <w:t xml:space="preserve">Who does the benefit arise for</w:t>
      </w:r>
    </w:p>
    <w:p>
      <w:pPr>
        <w:pStyle w:val="FirstParagraph"/>
      </w:pPr>
      <w:r>
        <w:t xml:space="preserve">State and municipal organisations gain better coordination, less duplication of effort and clearer roles. Employees gain better conditions for collaboration, and users experience more holistic and efficient services.</w:t>
      </w:r>
    </w:p>
    <w:bookmarkEnd w:id="107"/>
    <w:bookmarkStart w:id="108" w:name="how-does-the-beneficial-impact-arise-7"/>
    <w:p>
      <w:pPr>
        <w:pStyle w:val="Heading3"/>
      </w:pPr>
      <w:r>
        <w:rPr>
          <w:i/>
          <w:iCs/>
        </w:rPr>
        <w:t xml:space="preserve">How does the beneficial impact arise</w:t>
      </w:r>
    </w:p>
    <w:p>
      <w:pPr>
        <w:pStyle w:val="FirstParagraph"/>
      </w:pPr>
      <w:r>
        <w:t xml:space="preserve">A common governance model and management structure is established to support coordinated development and management across sectors and levels. Common information models, event descriptions and service catalogues provide the basis for effective interoperability – also in ecosystems that include public and private actors.</w:t>
      </w:r>
    </w:p>
    <w:bookmarkEnd w:id="108"/>
    <w:bookmarkStart w:id="109" w:name="uncertainty-assessment-7"/>
    <w:p>
      <w:pPr>
        <w:pStyle w:val="Heading3"/>
      </w:pPr>
      <w:r>
        <w:rPr>
          <w:i/>
          <w:iCs/>
        </w:rPr>
        <w:t xml:space="preserve">Uncertainty assessment</w:t>
      </w:r>
    </w:p>
    <w:p>
      <w:pPr>
        <w:pStyle w:val="FirstParagraph"/>
      </w:pPr>
      <w:r>
        <w:t xml:space="preserve">Medium.</w:t>
      </w:r>
    </w:p>
    <w:bookmarkEnd w:id="109"/>
    <w:bookmarkStart w:id="110" w:name="rationale-for-uncertainty-assessment-7"/>
    <w:p>
      <w:pPr>
        <w:pStyle w:val="Heading3"/>
      </w:pPr>
      <w:r>
        <w:rPr>
          <w:i/>
          <w:iCs/>
        </w:rPr>
        <w:t xml:space="preserve">Rationale for uncertainty assessment</w:t>
      </w:r>
    </w:p>
    <w:p>
      <w:pPr>
        <w:pStyle w:val="FirstParagraph"/>
      </w:pPr>
      <w:r>
        <w:t xml:space="preserve">There is moderate uncertainty, as the benefit depends on actual compliance with common governance models and management principles. Varying organisational maturity, different priorities and resource constraints may challenge the ability to deliver among the parties.</w:t>
      </w:r>
    </w:p>
    <w:bookmarkEnd w:id="110"/>
    <w:bookmarkStart w:id="111" w:name="preconditions-7"/>
    <w:p>
      <w:pPr>
        <w:pStyle w:val="Heading3"/>
      </w:pPr>
      <w:r>
        <w:rPr>
          <w:i/>
          <w:iCs/>
        </w:rPr>
        <w:t xml:space="preserve">Preconditions</w:t>
      </w:r>
    </w:p>
    <w:p>
      <w:pPr>
        <w:pStyle w:val="FirstParagraph"/>
      </w:pPr>
      <w:r>
        <w:t xml:space="preserve">The parties must commit to common principles for co-governance and management. Providers and other actors must be able to connect to common models and interfaces, and contribute to compliance and further development.</w:t>
      </w:r>
    </w:p>
    <w:bookmarkEnd w:id="111"/>
    <w:bookmarkEnd w:id="112"/>
    <w:bookmarkStart w:id="120" w:name="k9-better-data-quality"/>
    <w:p>
      <w:pPr>
        <w:pStyle w:val="Heading2"/>
      </w:pPr>
      <w:r>
        <w:t xml:space="preserve">K9: Better data quality</w:t>
      </w:r>
    </w:p>
    <w:bookmarkStart w:id="113" w:name="socioeconomic-value-8"/>
    <w:p>
      <w:pPr>
        <w:pStyle w:val="Heading3"/>
      </w:pPr>
      <w:r>
        <w:rPr>
          <w:i/>
          <w:iCs/>
        </w:rPr>
        <w:t xml:space="preserve">Socioeconomic value</w:t>
      </w:r>
    </w:p>
    <w:p>
      <w:pPr>
        <w:pStyle w:val="FirstParagraph"/>
      </w:pPr>
      <w:r>
        <w:t xml:space="preserve">Very large.</w:t>
      </w:r>
    </w:p>
    <w:bookmarkEnd w:id="113"/>
    <w:bookmarkStart w:id="114" w:name="what-is-the-beneficial-impact-8"/>
    <w:p>
      <w:pPr>
        <w:pStyle w:val="Heading3"/>
      </w:pPr>
      <w:r>
        <w:rPr>
          <w:i/>
          <w:iCs/>
        </w:rPr>
        <w:t xml:space="preserve">What is the beneficial impact</w:t>
      </w:r>
    </w:p>
    <w:p>
      <w:pPr>
        <w:pStyle w:val="FirstParagraph"/>
      </w:pPr>
      <w:r>
        <w:t xml:space="preserve">Improved data quality and structured data result in fewer errors in case processing, better data foundation for AI and decision-making, increased legal certainty, and trust in public services.</w:t>
      </w:r>
    </w:p>
    <w:bookmarkEnd w:id="114"/>
    <w:bookmarkStart w:id="115" w:name="who-does-the-benefit-arise-for-8"/>
    <w:p>
      <w:pPr>
        <w:pStyle w:val="Heading3"/>
      </w:pPr>
      <w:r>
        <w:rPr>
          <w:i/>
          <w:iCs/>
        </w:rPr>
        <w:t xml:space="preserve">Who does the benefit arise for</w:t>
      </w:r>
    </w:p>
    <w:p>
      <w:pPr>
        <w:pStyle w:val="FirstParagraph"/>
      </w:pPr>
      <w:r>
        <w:t xml:space="preserve">Citizens and organisations in the public and private sector.</w:t>
      </w:r>
    </w:p>
    <w:bookmarkEnd w:id="115"/>
    <w:bookmarkStart w:id="116" w:name="how-does-the-beneficial-impact-arise-8"/>
    <w:p>
      <w:pPr>
        <w:pStyle w:val="Heading3"/>
      </w:pPr>
      <w:r>
        <w:rPr>
          <w:i/>
          <w:iCs/>
        </w:rPr>
        <w:t xml:space="preserve">How does the beneficial impact arise</w:t>
      </w:r>
    </w:p>
    <w:p>
      <w:pPr>
        <w:pStyle w:val="FirstParagraph"/>
      </w:pPr>
      <w:r>
        <w:t xml:space="preserve">When data is reused by multiple services, the requirements for quality will be higher. It is easier to ensure quality when data is collected once and processed within systems, rather than having to be registered in each individual system. Common information models will increase awareness of what the data represents, and thus make visible the need for quality improvement.</w:t>
      </w:r>
    </w:p>
    <w:bookmarkEnd w:id="116"/>
    <w:bookmarkStart w:id="117" w:name="uncertainty-assessment-8"/>
    <w:p>
      <w:pPr>
        <w:pStyle w:val="Heading3"/>
      </w:pPr>
      <w:r>
        <w:rPr>
          <w:i/>
          <w:iCs/>
        </w:rPr>
        <w:t xml:space="preserve">Uncertainty assessment</w:t>
      </w:r>
    </w:p>
    <w:p>
      <w:pPr>
        <w:pStyle w:val="FirstParagraph"/>
      </w:pPr>
      <w:r>
        <w:t xml:space="preserve">Medium.</w:t>
      </w:r>
    </w:p>
    <w:bookmarkEnd w:id="117"/>
    <w:bookmarkStart w:id="118" w:name="rationale-for-uncertainty-assessment-8"/>
    <w:p>
      <w:pPr>
        <w:pStyle w:val="Heading3"/>
      </w:pPr>
      <w:r>
        <w:rPr>
          <w:i/>
          <w:iCs/>
        </w:rPr>
        <w:t xml:space="preserve">Rationale for uncertainty assessment</w:t>
      </w:r>
    </w:p>
    <w:p>
      <w:pPr>
        <w:pStyle w:val="FirstParagraph"/>
      </w:pPr>
      <w:r>
        <w:t xml:space="preserve">The benefit depends on actual introduction and use of common information models and good data governance across multiple involved organisations. Previous projects have shown that benefits are realisable, but that organisational anchoring and local prioritisation may vary.</w:t>
      </w:r>
    </w:p>
    <w:bookmarkEnd w:id="118"/>
    <w:bookmarkStart w:id="119" w:name="preconditions-8"/>
    <w:p>
      <w:pPr>
        <w:pStyle w:val="Heading3"/>
      </w:pPr>
      <w:r>
        <w:rPr>
          <w:i/>
          <w:iCs/>
        </w:rPr>
        <w:t xml:space="preserve">Preconditions</w:t>
      </w:r>
    </w:p>
    <w:p>
      <w:pPr>
        <w:pStyle w:val="FirstParagraph"/>
      </w:pPr>
      <w:r>
        <w:t xml:space="preserve">Common concepts and information models must be established and adopted. Metadata must be managed and made available. Organisations are required to have procedures and expertise for quality assurance and data maintenance.</w:t>
      </w:r>
    </w:p>
    <w:bookmarkEnd w:id="119"/>
    <w:bookmarkEnd w:id="120"/>
    <w:bookmarkStart w:id="128" w:name="k10-avoid-data-lock-in"/>
    <w:p>
      <w:pPr>
        <w:pStyle w:val="Heading2"/>
      </w:pPr>
      <w:r>
        <w:t xml:space="preserve">K10: Avoid data lock-in</w:t>
      </w:r>
    </w:p>
    <w:bookmarkStart w:id="121" w:name="socioeconomic-value-9"/>
    <w:p>
      <w:pPr>
        <w:pStyle w:val="Heading3"/>
      </w:pPr>
      <w:r>
        <w:rPr>
          <w:i/>
          <w:iCs/>
        </w:rPr>
        <w:t xml:space="preserve">Socioeconomic value</w:t>
      </w:r>
    </w:p>
    <w:p>
      <w:pPr>
        <w:pStyle w:val="FirstParagraph"/>
      </w:pPr>
      <w:r>
        <w:t xml:space="preserve">Large.</w:t>
      </w:r>
    </w:p>
    <w:bookmarkEnd w:id="121"/>
    <w:bookmarkStart w:id="122" w:name="what-is-the-beneficial-impact-9"/>
    <w:p>
      <w:pPr>
        <w:pStyle w:val="Heading3"/>
      </w:pPr>
      <w:r>
        <w:rPr>
          <w:i/>
          <w:iCs/>
        </w:rPr>
        <w:t xml:space="preserve">What is the beneficial impact</w:t>
      </w:r>
    </w:p>
    <w:p>
      <w:pPr>
        <w:pStyle w:val="FirstParagraph"/>
      </w:pPr>
      <w:r>
        <w:t xml:space="preserve">Avoid data being</w:t>
      </w:r>
      <w:r>
        <w:t xml:space="preserve"> </w:t>
      </w:r>
      <w:r>
        <w:t xml:space="preserve">“locked in”</w:t>
      </w:r>
      <w:r>
        <w:t xml:space="preserve"> </w:t>
      </w:r>
      <w:r>
        <w:t xml:space="preserve">to proprietary solutions/specialist systems, to enable access to up-to-date and comprehensible data regardless of where or how data is stored. Through this, the need for local copies is also avoided, which in turn has a number of advantages (information security, data quality, etc.).</w:t>
      </w:r>
    </w:p>
    <w:bookmarkEnd w:id="122"/>
    <w:bookmarkStart w:id="123" w:name="who-does-the-benefit-arise-for-9"/>
    <w:p>
      <w:pPr>
        <w:pStyle w:val="Heading3"/>
      </w:pPr>
      <w:r>
        <w:rPr>
          <w:i/>
          <w:iCs/>
        </w:rPr>
        <w:t xml:space="preserve">Who does the benefit arise for</w:t>
      </w:r>
    </w:p>
    <w:p>
      <w:pPr>
        <w:pStyle w:val="FirstParagraph"/>
      </w:pPr>
      <w:r>
        <w:t xml:space="preserve">In the first instance, all solution providers across the public and private sector; ultimately</w:t>
      </w:r>
      <w:r>
        <w:t xml:space="preserve"> </w:t>
      </w:r>
      <w:r>
        <w:t xml:space="preserve">“everyone”</w:t>
      </w:r>
      <w:r>
        <w:t xml:space="preserve">.</w:t>
      </w:r>
    </w:p>
    <w:bookmarkEnd w:id="123"/>
    <w:bookmarkStart w:id="124" w:name="how-does-the-beneficial-impact-arise-9"/>
    <w:p>
      <w:pPr>
        <w:pStyle w:val="Heading3"/>
      </w:pPr>
      <w:r>
        <w:rPr>
          <w:i/>
          <w:iCs/>
        </w:rPr>
        <w:t xml:space="preserve">How does the beneficial impact arise</w:t>
      </w:r>
    </w:p>
    <w:p>
      <w:pPr>
        <w:pStyle w:val="FirstParagraph"/>
      </w:pPr>
      <w:r>
        <w:t xml:space="preserve">Standardisation of data models and interfaces for accessing data where it is owned or managed, with clear requirements for availability, version management, security, etc.</w:t>
      </w:r>
    </w:p>
    <w:bookmarkEnd w:id="124"/>
    <w:bookmarkStart w:id="125" w:name="uncertainty-assessment-9"/>
    <w:p>
      <w:pPr>
        <w:pStyle w:val="Heading3"/>
      </w:pPr>
      <w:r>
        <w:rPr>
          <w:i/>
          <w:iCs/>
        </w:rPr>
        <w:t xml:space="preserve">Uncertainty assessment</w:t>
      </w:r>
    </w:p>
    <w:p>
      <w:pPr>
        <w:pStyle w:val="FirstParagraph"/>
      </w:pPr>
      <w:r>
        <w:t xml:space="preserve">Medium.</w:t>
      </w:r>
    </w:p>
    <w:bookmarkEnd w:id="125"/>
    <w:bookmarkStart w:id="126" w:name="rationale-for-uncertainty-assessment-9"/>
    <w:p>
      <w:pPr>
        <w:pStyle w:val="Heading3"/>
      </w:pPr>
      <w:r>
        <w:rPr>
          <w:i/>
          <w:iCs/>
        </w:rPr>
        <w:t xml:space="preserve">Rationale for uncertainty assessment</w:t>
      </w:r>
    </w:p>
    <w:p>
      <w:pPr>
        <w:pStyle w:val="FirstParagraph"/>
      </w:pPr>
      <w:r>
        <w:t xml:space="preserve">Many system providers wish to create dependencies on their solutions and actively resist attempts at standardisation and reuse of data.</w:t>
      </w:r>
    </w:p>
    <w:bookmarkEnd w:id="126"/>
    <w:bookmarkStart w:id="127" w:name="preconditions-9"/>
    <w:p>
      <w:pPr>
        <w:pStyle w:val="Heading3"/>
      </w:pPr>
      <w:r>
        <w:rPr>
          <w:i/>
          <w:iCs/>
        </w:rPr>
        <w:t xml:space="preserve">Preconditions</w:t>
      </w:r>
    </w:p>
    <w:p>
      <w:pPr>
        <w:pStyle w:val="FirstParagraph"/>
      </w:pPr>
      <w:r>
        <w:t xml:space="preserve">Requirements to follow given standards, such as the Digitalisation Circular, the Reference Catalogue for IT Standards in the Public Sector, etc.</w:t>
      </w:r>
    </w:p>
    <w:bookmarkEnd w:id="127"/>
    <w:bookmarkEnd w:id="128"/>
    <w:bookmarkStart w:id="136" w:name="k11-healthier-competitive-conditions"/>
    <w:p>
      <w:pPr>
        <w:pStyle w:val="Heading2"/>
      </w:pPr>
      <w:r>
        <w:t xml:space="preserve">K11: Healthier competitive conditions</w:t>
      </w:r>
    </w:p>
    <w:bookmarkStart w:id="129" w:name="socioeconomic-value-10"/>
    <w:p>
      <w:pPr>
        <w:pStyle w:val="Heading3"/>
      </w:pPr>
      <w:r>
        <w:rPr>
          <w:i/>
          <w:iCs/>
        </w:rPr>
        <w:t xml:space="preserve">Socioeconomic value</w:t>
      </w:r>
    </w:p>
    <w:p>
      <w:pPr>
        <w:pStyle w:val="FirstParagraph"/>
      </w:pPr>
      <w:r>
        <w:t xml:space="preserve">Medium.</w:t>
      </w:r>
    </w:p>
    <w:bookmarkEnd w:id="129"/>
    <w:bookmarkStart w:id="130" w:name="what-is-the-beneficial-impact-10"/>
    <w:p>
      <w:pPr>
        <w:pStyle w:val="Heading3"/>
      </w:pPr>
      <w:r>
        <w:rPr>
          <w:i/>
          <w:iCs/>
        </w:rPr>
        <w:t xml:space="preserve">What is the beneficial impact</w:t>
      </w:r>
    </w:p>
    <w:p>
      <w:pPr>
        <w:pStyle w:val="FirstParagraph"/>
      </w:pPr>
      <w:r>
        <w:t xml:space="preserve">It becomes easier for system providers to develop good services that use data from other systems when there are common requirements for how data should be exchanged. The starting point for competition becomes more equal, and it becomes easier for challengers to gain a foothold in the market. Providers can spend less time and effort on cleaning and transferring data, and more time on using the data to create good services.</w:t>
      </w:r>
    </w:p>
    <w:bookmarkEnd w:id="130"/>
    <w:bookmarkStart w:id="131" w:name="who-does-the-benefit-arise-for-10"/>
    <w:p>
      <w:pPr>
        <w:pStyle w:val="Heading3"/>
      </w:pPr>
      <w:r>
        <w:rPr>
          <w:i/>
          <w:iCs/>
        </w:rPr>
        <w:t xml:space="preserve">Who does the benefit arise for</w:t>
      </w:r>
    </w:p>
    <w:p>
      <w:pPr>
        <w:pStyle w:val="FirstParagraph"/>
      </w:pPr>
      <w:r>
        <w:t xml:space="preserve">System providers: Market access, equal terms, predictability.</w:t>
      </w:r>
    </w:p>
    <w:p>
      <w:pPr>
        <w:pStyle w:val="BodyText"/>
      </w:pPr>
      <w:r>
        <w:t xml:space="preserve">Public sector: Good solutions at the right price.</w:t>
      </w:r>
    </w:p>
    <w:bookmarkEnd w:id="131"/>
    <w:bookmarkStart w:id="132" w:name="how-does-the-beneficial-impact-arise-10"/>
    <w:p>
      <w:pPr>
        <w:pStyle w:val="Heading3"/>
      </w:pPr>
      <w:r>
        <w:rPr>
          <w:i/>
          <w:iCs/>
        </w:rPr>
        <w:t xml:space="preserve">How does the beneficial impact arise</w:t>
      </w:r>
    </w:p>
    <w:p>
      <w:pPr>
        <w:pStyle w:val="FirstParagraph"/>
      </w:pPr>
      <w:r>
        <w:t xml:space="preserve">Standardisation of information models and integration interfaces forms the basis for requirements that the public sector can impose on the supplier market. When more organisations have the same requirements, it becomes easier and more predictable for providers to deliver good services that multiple parties can adopt. Publication of information models will make it easier to connect new systems to existing systems and can be found by anyone who wishes to develop services for the public sector.</w:t>
      </w:r>
    </w:p>
    <w:bookmarkEnd w:id="132"/>
    <w:bookmarkStart w:id="133" w:name="uncertainty-assessment-10"/>
    <w:p>
      <w:pPr>
        <w:pStyle w:val="Heading3"/>
      </w:pPr>
      <w:r>
        <w:rPr>
          <w:i/>
          <w:iCs/>
        </w:rPr>
        <w:t xml:space="preserve">Uncertainty assessment</w:t>
      </w:r>
    </w:p>
    <w:p>
      <w:pPr>
        <w:pStyle w:val="FirstParagraph"/>
      </w:pPr>
      <w:r>
        <w:t xml:space="preserve">Medium.</w:t>
      </w:r>
    </w:p>
    <w:bookmarkEnd w:id="133"/>
    <w:bookmarkStart w:id="134" w:name="rationale-for-uncertainty-assessment-10"/>
    <w:p>
      <w:pPr>
        <w:pStyle w:val="Heading3"/>
      </w:pPr>
      <w:r>
        <w:rPr>
          <w:i/>
          <w:iCs/>
        </w:rPr>
        <w:t xml:space="preserve">Rationale for uncertainty assessment</w:t>
      </w:r>
    </w:p>
    <w:p>
      <w:pPr>
        <w:pStyle w:val="FirstParagraph"/>
      </w:pPr>
      <w:r>
        <w:t xml:space="preserve">The benefit requires that state and municipal organisations comply with national requirements for data quality and information management. There is some uncertainty related to actual compliance in practice, particularly in procurement and management.</w:t>
      </w:r>
    </w:p>
    <w:bookmarkEnd w:id="134"/>
    <w:bookmarkStart w:id="135" w:name="preconditions-10"/>
    <w:p>
      <w:pPr>
        <w:pStyle w:val="Heading3"/>
      </w:pPr>
      <w:r>
        <w:rPr>
          <w:i/>
          <w:iCs/>
        </w:rPr>
        <w:t xml:space="preserve">Preconditions</w:t>
      </w:r>
    </w:p>
    <w:p>
      <w:pPr>
        <w:pStyle w:val="FirstParagraph"/>
      </w:pPr>
      <w:r>
        <w:t xml:space="preserve">Clear, coordinated requirements must be established nationally (e.g. through the Digitalisation Circular and the Reference Catalogue), and translated into concrete requirements and procedures in organisations’ system management and procurement.</w:t>
      </w:r>
    </w:p>
    <w:bookmarkEnd w:id="135"/>
    <w:bookmarkEnd w:id="136"/>
    <w:bookmarkStart w:id="144" w:name="k12-more-efficient-procurement-processes"/>
    <w:p>
      <w:pPr>
        <w:pStyle w:val="Heading2"/>
      </w:pPr>
      <w:r>
        <w:t xml:space="preserve">K12: More efficient procurement processes</w:t>
      </w:r>
    </w:p>
    <w:bookmarkStart w:id="137" w:name="socioeconomic-value-11"/>
    <w:p>
      <w:pPr>
        <w:pStyle w:val="Heading3"/>
      </w:pPr>
      <w:r>
        <w:rPr>
          <w:i/>
          <w:iCs/>
        </w:rPr>
        <w:t xml:space="preserve">Socioeconomic value</w:t>
      </w:r>
    </w:p>
    <w:p>
      <w:pPr>
        <w:pStyle w:val="FirstParagraph"/>
      </w:pPr>
      <w:r>
        <w:t xml:space="preserve">Medium.</w:t>
      </w:r>
    </w:p>
    <w:bookmarkEnd w:id="137"/>
    <w:bookmarkStart w:id="138" w:name="what-is-the-beneficial-impact-11"/>
    <w:p>
      <w:pPr>
        <w:pStyle w:val="Heading3"/>
      </w:pPr>
      <w:r>
        <w:rPr>
          <w:i/>
          <w:iCs/>
        </w:rPr>
        <w:t xml:space="preserve">What is the beneficial impact</w:t>
      </w:r>
    </w:p>
    <w:p>
      <w:pPr>
        <w:pStyle w:val="FirstParagraph"/>
      </w:pPr>
      <w:r>
        <w:t xml:space="preserve">Conducting procurements becomes easier for the municipal and public sector, and the process becomes more predictable for the supplier market which faces standardised requirements. Reduced time expenditure for organisations that must procure, and for the supplier market which, instead of having to respond to each individual organisation with different requirements, will encounter the same needs across multiple organisations.</w:t>
      </w:r>
    </w:p>
    <w:bookmarkEnd w:id="138"/>
    <w:bookmarkStart w:id="139" w:name="who-does-the-benefit-arise-for-11"/>
    <w:p>
      <w:pPr>
        <w:pStyle w:val="Heading3"/>
      </w:pPr>
      <w:r>
        <w:rPr>
          <w:i/>
          <w:iCs/>
        </w:rPr>
        <w:t xml:space="preserve">Who does the benefit arise for</w:t>
      </w:r>
    </w:p>
    <w:p>
      <w:pPr>
        <w:pStyle w:val="FirstParagraph"/>
      </w:pPr>
      <w:r>
        <w:t xml:space="preserve">System providers, municipal and public sector.</w:t>
      </w:r>
    </w:p>
    <w:bookmarkEnd w:id="139"/>
    <w:bookmarkStart w:id="140" w:name="how-does-the-beneficial-impact-arise-11"/>
    <w:p>
      <w:pPr>
        <w:pStyle w:val="Heading3"/>
      </w:pPr>
      <w:r>
        <w:rPr>
          <w:i/>
          <w:iCs/>
        </w:rPr>
        <w:t xml:space="preserve">How does the beneficial impact arise</w:t>
      </w:r>
    </w:p>
    <w:p>
      <w:pPr>
        <w:pStyle w:val="FirstParagraph"/>
      </w:pPr>
      <w:r>
        <w:t xml:space="preserve">Common, predictable requirements and models for all who must conduct procurements and the providers who respond to enquiries.</w:t>
      </w:r>
    </w:p>
    <w:bookmarkEnd w:id="140"/>
    <w:bookmarkStart w:id="141" w:name="uncertainty-assessment-11"/>
    <w:p>
      <w:pPr>
        <w:pStyle w:val="Heading3"/>
      </w:pPr>
      <w:r>
        <w:rPr>
          <w:i/>
          <w:iCs/>
        </w:rPr>
        <w:t xml:space="preserve">Uncertainty assessment</w:t>
      </w:r>
    </w:p>
    <w:p>
      <w:pPr>
        <w:pStyle w:val="FirstParagraph"/>
      </w:pPr>
      <w:r>
        <w:t xml:space="preserve">Medium.</w:t>
      </w:r>
    </w:p>
    <w:bookmarkEnd w:id="141"/>
    <w:bookmarkStart w:id="142" w:name="rationale-for-uncertainty-assessment-11"/>
    <w:p>
      <w:pPr>
        <w:pStyle w:val="Heading3"/>
      </w:pPr>
      <w:r>
        <w:rPr>
          <w:i/>
          <w:iCs/>
        </w:rPr>
        <w:t xml:space="preserve">Rationale for uncertainty assessment</w:t>
      </w:r>
    </w:p>
    <w:p>
      <w:pPr>
        <w:pStyle w:val="FirstParagraph"/>
      </w:pPr>
      <w:r>
        <w:t xml:space="preserve">Requires that organisations in the municipal and public sector agree on common requirements for models and integration interfaces and use them in procurement processes.</w:t>
      </w:r>
    </w:p>
    <w:bookmarkEnd w:id="142"/>
    <w:bookmarkStart w:id="143" w:name="preconditions-11"/>
    <w:p>
      <w:pPr>
        <w:pStyle w:val="Heading3"/>
      </w:pPr>
      <w:r>
        <w:rPr>
          <w:i/>
          <w:iCs/>
        </w:rPr>
        <w:t xml:space="preserve">Preconditions</w:t>
      </w:r>
    </w:p>
    <w:p>
      <w:pPr>
        <w:pStyle w:val="FirstParagraph"/>
      </w:pPr>
      <w:r>
        <w:t xml:space="preserve">Municipal and public sector must impose equivalent requirements for models and integration interfaces.</w:t>
      </w:r>
    </w:p>
    <w:bookmarkEnd w:id="143"/>
    <w:bookmarkEnd w:id="144"/>
    <w:bookmarkStart w:id="152" w:name="k13-enables-the-once-only-principle"/>
    <w:p>
      <w:pPr>
        <w:pStyle w:val="Heading2"/>
      </w:pPr>
      <w:r>
        <w:t xml:space="preserve">K13: Enables the once-only principle</w:t>
      </w:r>
    </w:p>
    <w:bookmarkStart w:id="145" w:name="socioeconomic-value-12"/>
    <w:p>
      <w:pPr>
        <w:pStyle w:val="Heading3"/>
      </w:pPr>
      <w:r>
        <w:rPr>
          <w:i/>
          <w:iCs/>
        </w:rPr>
        <w:t xml:space="preserve">Socioeconomic value</w:t>
      </w:r>
    </w:p>
    <w:p>
      <w:pPr>
        <w:pStyle w:val="FirstParagraph"/>
      </w:pPr>
      <w:r>
        <w:t xml:space="preserve">Medium.</w:t>
      </w:r>
    </w:p>
    <w:bookmarkEnd w:id="145"/>
    <w:bookmarkStart w:id="146" w:name="what-is-the-beneficial-impact-12"/>
    <w:p>
      <w:pPr>
        <w:pStyle w:val="Heading3"/>
      </w:pPr>
      <w:r>
        <w:rPr>
          <w:i/>
          <w:iCs/>
        </w:rPr>
        <w:t xml:space="preserve">What is the beneficial impact</w:t>
      </w:r>
    </w:p>
    <w:p>
      <w:pPr>
        <w:pStyle w:val="FirstParagraph"/>
      </w:pPr>
      <w:r>
        <w:t xml:space="preserve">Municipal and public sector reuse information to a greater extent, and there is less need to register the same information multiple times.</w:t>
      </w:r>
    </w:p>
    <w:bookmarkEnd w:id="146"/>
    <w:bookmarkStart w:id="147" w:name="who-does-the-benefit-arise-for-12"/>
    <w:p>
      <w:pPr>
        <w:pStyle w:val="Heading3"/>
      </w:pPr>
      <w:r>
        <w:rPr>
          <w:i/>
          <w:iCs/>
        </w:rPr>
        <w:t xml:space="preserve">Who does the benefit arise for</w:t>
      </w:r>
    </w:p>
    <w:p>
      <w:pPr>
        <w:pStyle w:val="FirstParagraph"/>
      </w:pPr>
      <w:r>
        <w:t xml:space="preserve">Citizens, private businesses, municipal and public sector.</w:t>
      </w:r>
    </w:p>
    <w:bookmarkEnd w:id="147"/>
    <w:bookmarkStart w:id="148" w:name="how-does-the-beneficial-impact-arise-12"/>
    <w:p>
      <w:pPr>
        <w:pStyle w:val="Heading3"/>
      </w:pPr>
      <w:r>
        <w:rPr>
          <w:i/>
          <w:iCs/>
        </w:rPr>
        <w:t xml:space="preserve">How does the beneficial impact arise</w:t>
      </w:r>
    </w:p>
    <w:p>
      <w:pPr>
        <w:pStyle w:val="FirstParagraph"/>
      </w:pPr>
      <w:r>
        <w:t xml:space="preserve">Overview of data, standardisation of information models and integration points.</w:t>
      </w:r>
    </w:p>
    <w:bookmarkEnd w:id="148"/>
    <w:bookmarkStart w:id="149" w:name="uncertainty-assessment-12"/>
    <w:p>
      <w:pPr>
        <w:pStyle w:val="Heading3"/>
      </w:pPr>
      <w:r>
        <w:rPr>
          <w:i/>
          <w:iCs/>
        </w:rPr>
        <w:t xml:space="preserve">Uncertainty assessment</w:t>
      </w:r>
    </w:p>
    <w:p>
      <w:pPr>
        <w:pStyle w:val="FirstParagraph"/>
      </w:pPr>
      <w:r>
        <w:t xml:space="preserve">High.</w:t>
      </w:r>
    </w:p>
    <w:bookmarkEnd w:id="149"/>
    <w:bookmarkStart w:id="150" w:name="rationale-for-uncertainty-assessment-12"/>
    <w:p>
      <w:pPr>
        <w:pStyle w:val="Heading3"/>
      </w:pPr>
      <w:r>
        <w:rPr>
          <w:i/>
          <w:iCs/>
        </w:rPr>
        <w:t xml:space="preserve">Rationale for uncertainty assessment</w:t>
      </w:r>
    </w:p>
    <w:p>
      <w:pPr>
        <w:pStyle w:val="FirstParagraph"/>
      </w:pPr>
      <w:r>
        <w:t xml:space="preserve">This beneficial impact depends on a large proportion of system providers, municipal and public sector organisations prioritising the work to get their own house in order, making an overview of their own data available and adapting systems for reuse of data. To achieve the ambition of once only, it is not enough for a few actors to adopt this, but for the majority to do the required work.</w:t>
      </w:r>
    </w:p>
    <w:bookmarkEnd w:id="150"/>
    <w:bookmarkStart w:id="151" w:name="preconditions-12"/>
    <w:p>
      <w:pPr>
        <w:pStyle w:val="Heading3"/>
      </w:pPr>
      <w:r>
        <w:rPr>
          <w:i/>
          <w:iCs/>
        </w:rPr>
        <w:t xml:space="preserve">Preconditions</w:t>
      </w:r>
    </w:p>
    <w:p>
      <w:pPr>
        <w:pStyle w:val="FirstParagraph"/>
      </w:pPr>
      <w:r>
        <w:t xml:space="preserve">Municipal and public sector organisations do structured work to gain an overview of their own data and publish the overview in catalogues, so we obtain a holistic overview of data in the public sector. Organisations and system providers follow standardised information models and integration points and facilitate the reuse of data.</w:t>
      </w:r>
    </w:p>
    <w:bookmarkEnd w:id="151"/>
    <w:bookmarkEnd w:id="152"/>
    <w:bookmarkEnd w:id="153"/>
    <w:bookmarkStart w:id="154" w:name="appendix-b-monetised-impacts"/>
    <w:p>
      <w:pPr>
        <w:pStyle w:val="Heading1"/>
      </w:pPr>
      <w:r>
        <w:t xml:space="preserve">Appendix B: Monetised Impacts</w:t>
      </w:r>
    </w:p>
    <w:p>
      <w:pPr>
        <w:pStyle w:val="FirstParagraph"/>
      </w:pPr>
      <w:r>
        <w:t xml:space="preserve">TBD: Transfer of calculations from the application.</w:t>
      </w:r>
    </w:p>
    <w:bookmarkEnd w:id="154"/>
    <w:bookmarkStart w:id="167" w:name="X0f875bcf08bc7a72c97935ac979f3a89eb1a7a6"/>
    <w:p>
      <w:pPr>
        <w:pStyle w:val="Heading1"/>
      </w:pPr>
      <w:r>
        <w:t xml:space="preserve">Appendix C: Relevant Pilots – Preliminary Examples</w:t>
      </w:r>
    </w:p>
    <w:bookmarkStart w:id="155" w:name="X99298b5442b59bb0b8915ae703e8e4af3b9c9fd"/>
    <w:p>
      <w:pPr>
        <w:pStyle w:val="Heading2"/>
      </w:pPr>
      <w:r>
        <w:t xml:space="preserve">Transitions between educational levels (from kindergarten to primary school / compulsory education, on to upper secondary and higher education) – e.g. exchange of pupil information when changing schools.</w:t>
      </w:r>
    </w:p>
    <w:bookmarkEnd w:id="155"/>
    <w:bookmarkStart w:id="156" w:name="X9a0112e6d3677ae5c6859c5d38ecbcc9ae9a488"/>
    <w:p>
      <w:pPr>
        <w:pStyle w:val="Heading2"/>
      </w:pPr>
      <w:r>
        <w:t xml:space="preserve">Distribution of pupils in transition from primary school / compulsory education to upper secondary for crime prevention purposes</w:t>
      </w:r>
    </w:p>
    <w:bookmarkEnd w:id="156"/>
    <w:bookmarkStart w:id="157" w:name="changing-school-or-place-of-study."/>
    <w:p>
      <w:pPr>
        <w:pStyle w:val="Heading2"/>
      </w:pPr>
      <w:r>
        <w:t xml:space="preserve">Changing school or place of study.</w:t>
      </w:r>
    </w:p>
    <w:bookmarkEnd w:id="157"/>
    <w:bookmarkStart w:id="158" w:name="X3d854fb9e388c54c2acaca21765eb411e3e6b24"/>
    <w:p>
      <w:pPr>
        <w:pStyle w:val="Heading2"/>
      </w:pPr>
      <w:r>
        <w:t xml:space="preserve">Interplay with other municipal services such as child welfare or PPT (educational psychology service).</w:t>
      </w:r>
    </w:p>
    <w:bookmarkEnd w:id="158"/>
    <w:bookmarkStart w:id="159" w:name="interplay-with-working-life"/>
    <w:p>
      <w:pPr>
        <w:pStyle w:val="Heading2"/>
      </w:pPr>
      <w:r>
        <w:t xml:space="preserve">Interplay with working life</w:t>
      </w:r>
    </w:p>
    <w:bookmarkEnd w:id="159"/>
    <w:bookmarkStart w:id="160" w:name="Xc7512e9e4fe0121b384150c0c1fa4dbf3494b99"/>
    <w:p>
      <w:pPr>
        <w:pStyle w:val="Heading2"/>
      </w:pPr>
      <w:r>
        <w:t xml:space="preserve">Digital dialogue and increased involvement between kindergarten/school and the home (guardians and pupils).</w:t>
      </w:r>
    </w:p>
    <w:bookmarkEnd w:id="160"/>
    <w:bookmarkStart w:id="161" w:name="X74a2daf049542708f74dab79b82c2a3b4848e84"/>
    <w:p>
      <w:pPr>
        <w:pStyle w:val="Heading2"/>
      </w:pPr>
      <w:r>
        <w:t xml:space="preserve">Change of educational pathway or programme of study.</w:t>
      </w:r>
    </w:p>
    <w:bookmarkEnd w:id="161"/>
    <w:bookmarkStart w:id="162" w:name="discontinued-education-dropout."/>
    <w:p>
      <w:pPr>
        <w:pStyle w:val="Heading2"/>
      </w:pPr>
      <w:r>
        <w:t xml:space="preserve">Discontinued education (dropout).</w:t>
      </w:r>
    </w:p>
    <w:bookmarkEnd w:id="162"/>
    <w:bookmarkStart w:id="163" w:name="X375ad54b44cc57d6e79ac9f7c5b9190656fcf64"/>
    <w:p>
      <w:pPr>
        <w:pStyle w:val="Heading2"/>
      </w:pPr>
      <w:r>
        <w:t xml:space="preserve">Sharing of digital diplomas and certificates of competence with working life</w:t>
      </w:r>
    </w:p>
    <w:bookmarkEnd w:id="163"/>
    <w:bookmarkStart w:id="164" w:name="X37bba2660562ecd0a706ffd61bceeb75066c6cd"/>
    <w:p>
      <w:pPr>
        <w:pStyle w:val="Heading2"/>
      </w:pPr>
      <w:r>
        <w:t xml:space="preserve">Efficient IT procurement with common standards</w:t>
      </w:r>
    </w:p>
    <w:bookmarkEnd w:id="164"/>
    <w:bookmarkStart w:id="165" w:name="X073453946019362b68521e517438130fa7b8e1f"/>
    <w:p>
      <w:pPr>
        <w:pStyle w:val="Heading2"/>
      </w:pPr>
      <w:r>
        <w:t xml:space="preserve">AI solutions based on structured, common information models in childcare and education, in collaboration with other AI initiatives.</w:t>
      </w:r>
    </w:p>
    <w:bookmarkEnd w:id="165"/>
    <w:bookmarkStart w:id="166" w:name="X5bcc9556d0d5c361829b13db741d3860d2ff4b4"/>
    <w:p>
      <w:pPr>
        <w:pStyle w:val="Heading2"/>
      </w:pPr>
      <w:r>
        <w:t xml:space="preserve">Event-driven and automated reporting with MVP on a new solution for this (e.g. reporting to SSB/KOSTRA).</w:t>
      </w:r>
    </w:p>
    <w:bookmarkEnd w:id="166"/>
    <w:bookmarkEnd w:id="1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0" Target="https://www.brreg.no/wp-content/uploads/2015/12/Rapport_informasjonsforvaltning_v1.1_sent-_a.pdf" TargetMode="External" /><Relationship Type="http://schemas.openxmlformats.org/officeDocument/2006/relationships/hyperlink" Id="rId33" Target="https://www.digdir.no/datadeling/deling-av-data-konseptvalgutredning/1412" TargetMode="External" /><Relationship Type="http://schemas.openxmlformats.org/officeDocument/2006/relationships/hyperlink" Id="rId23" Target="https://www.digdir.no/digital-samhandling/rammeverk-digital-samhandling/2148" TargetMode="External" /><Relationship Type="http://schemas.openxmlformats.org/officeDocument/2006/relationships/hyperlink" Id="rId31" Target="https://www.ks.no/fou-sok/2024/236007/" TargetMode="External" /><Relationship Type="http://schemas.openxmlformats.org/officeDocument/2006/relationships/hyperlink" Id="rId34" Target="https://www.regjeringen.no/no/dokumenter/meld.-st.-22-20202021/id2841118/?ch=1" TargetMode="External" /><Relationship Type="http://schemas.openxmlformats.org/officeDocument/2006/relationships/hyperlink" Id="rId35" Target="https://www.regjeringen.no/no/dokumenter/nou-2024-14/id3046520/" TargetMode="External" /><Relationship Type="http://schemas.openxmlformats.org/officeDocument/2006/relationships/hyperlink" Id="rId32" Target="https://www.regjeringen.no/no/dokumenter/strategi-for-digital-kompetanse-og-infrastruktur-i-barnehage-og-skole/id2972254/?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30" Target="https://www.brreg.no/wp-content/uploads/2015/12/Rapport_informasjonsforvaltning_v1.1_sent-_a.pdf" TargetMode="External" /><Relationship Type="http://schemas.openxmlformats.org/officeDocument/2006/relationships/hyperlink" Id="rId33" Target="https://www.digdir.no/datadeling/deling-av-data-konseptvalgutredning/1412" TargetMode="External" /><Relationship Type="http://schemas.openxmlformats.org/officeDocument/2006/relationships/hyperlink" Id="rId23" Target="https://www.digdir.no/digital-samhandling/rammeverk-digital-samhandling/2148" TargetMode="External" /><Relationship Type="http://schemas.openxmlformats.org/officeDocument/2006/relationships/hyperlink" Id="rId31" Target="https://www.ks.no/fou-sok/2024/236007/" TargetMode="External" /><Relationship Type="http://schemas.openxmlformats.org/officeDocument/2006/relationships/hyperlink" Id="rId34" Target="https://www.regjeringen.no/no/dokumenter/meld.-st.-22-20202021/id2841118/?ch=1" TargetMode="External" /><Relationship Type="http://schemas.openxmlformats.org/officeDocument/2006/relationships/hyperlink" Id="rId35" Target="https://www.regjeringen.no/no/dokumenter/nou-2024-14/id3046520/" TargetMode="External" /><Relationship Type="http://schemas.openxmlformats.org/officeDocument/2006/relationships/hyperlink" Id="rId32" Target="https://www.regjeringen.no/no/dokumenter/strategi-for-digital-kompetanse-og-infrastruktur-i-barnehage-og-skole/id2972254/?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2026-03-22T23:29:20Z</dcterms:created>
  <dcterms:modified xsi:type="dcterms:W3CDTF">2026-03-22T23:29:20Z</dcterms:modified>
</cp:coreProperties>
</file>

<file path=docProps/custom.xml><?xml version="1.0" encoding="utf-8"?>
<Properties xmlns="http://schemas.openxmlformats.org/officeDocument/2006/custom-properties" xmlns:vt="http://schemas.openxmlformats.org/officeDocument/2006/docPropsVTypes"/>
</file>