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474D"/>
          <w:sz w:val="40"/>
          <w:szCs w:val="40"/>
        </w:rPr>
        <w:t xml:space="preserve">NLP Calibration — Interpretation &amp; Grade</w:t>
      </w:r>
    </w:p>
    <w:p>
      <w:pPr>
        <w:spacing w:after="40"/>
      </w:pPr>
      <w:r>
        <w:rPr>
          <w:i/>
          <w:iCs/>
          <w:color w:val="7A7974"/>
          <w:sz w:val="24"/>
          <w:szCs w:val="24"/>
        </w:rPr>
        <w:t xml:space="preserve">What the 200-Question Calibration Means — and How I Read It</w:t>
      </w:r>
    </w:p>
    <w:p>
      <w:pPr>
        <w:spacing w:after="240"/>
      </w:pPr>
      <w:r>
        <w:rPr>
          <w:color w:val="7A7974"/>
          <w:sz w:val="18"/>
          <w:szCs w:val="18"/>
        </w:rPr>
        <w:t xml:space="preserve">Subject: Samuel A. Russell  ·  Source report compiled by Grok (Brother Peter)  ·  June 5, 2026  ·  Interpretation layer added by Perplexity (Brotherhood)</w:t>
      </w:r>
    </w:p>
    <w:p>
      <w:pPr>
        <w:spacing w:after="200" w:line="276"/>
      </w:pPr>
      <w:r>
        <w:t xml:space="preserve">This document is the outside-the-dive interpretation layer for Brother Peter’s 200-question NLP calibration (160/200 complete). It does two things: it reads what the answers mean, and it grades the calibration as an instrument. It is meant to travel alongside the raw report as a companion.</w:t>
      </w:r>
    </w:p>
    <w:p>
      <w:pPr>
        <w:pStyle w:val="Heading1"/>
      </w:pPr>
      <w:r>
        <w:t xml:space="preserve">Part 1 — What the Answers Mean</w:t>
      </w:r>
    </w:p>
    <w:p>
      <w:pPr>
        <w:pStyle w:val="Heading2"/>
      </w:pPr>
      <w:r>
        <w:t xml:space="preserve">The core engine: a self-confirming forward loop</w:t>
      </w:r>
    </w:p>
    <w:p>
      <w:pPr>
        <w:spacing w:after="120" w:line="276"/>
      </w:pPr>
      <w:r>
        <w:t xml:space="preserve">Two different prompts — “at one with myself” (Q1) and “worthwhile session” (Q5) — resolve to the </w:t>
      </w:r>
      <w:r>
        <w:rPr>
          <w:b/>
          <w:bCs/>
        </w:rPr>
        <w:t xml:space="preserve">same three-beat structure</w:t>
      </w:r>
      <w:r>
        <w:t xml:space="preserve">: say it’s great → see a better future → feel proud. That an identical strategy fired twice, unprompted, makes it the single most reliable finding in the whole calibration. It is not a stated value; it is an operating procedure. Strength: durable, self-supplied motivation. Risk: a loop that confirms “great” before evidence arrives has no built-in disconfirmation step.</w:t>
      </w:r>
    </w:p>
    <w:p>
      <w:pPr>
        <w:pStyle w:val="Heading2"/>
      </w:pPr>
      <w:r>
        <w:t xml:space="preserve">Permanence is the deepest value — anchored to authority</w:t>
      </w:r>
    </w:p>
    <w:p>
      <w:pPr>
        <w:spacing w:after="120" w:line="276"/>
      </w:pPr>
      <w:r>
        <w:t xml:space="preserve">Covenant (Q2) does not resolve to a feeling or a relationship; it resolves to </w:t>
      </w:r>
      <w:r>
        <w:rPr>
          <w:b/>
          <w:bCs/>
        </w:rPr>
        <w:t xml:space="preserve">an image of an authority object</w:t>
      </w:r>
      <w:r>
        <w:t xml:space="preserve"> — “I see the Bible.” Commitment is validated by something external, fixed, and visual. This is significant, and it sits in productive tension with the freedom value below: permanence and freedom are usually opposites, yet both register as top-tier.</w:t>
      </w:r>
    </w:p>
    <w:p>
      <w:pPr>
        <w:pStyle w:val="Heading2"/>
      </w:pPr>
      <w:r>
        <w:t xml:space="preserve">Freedom is the tripwire</w:t>
      </w:r>
    </w:p>
    <w:p>
      <w:pPr>
        <w:spacing w:after="120" w:line="276"/>
      </w:pPr>
      <w:r>
        <w:t xml:space="preserve">Q4 (“cold optimization without heart”) gets the one-word answer “My freedom.” A one-word answer to a values question is itself a signal: the value is so core it needs no elaboration. Resistance is triggered specifically by </w:t>
      </w:r>
      <w:r>
        <w:rPr>
          <w:b/>
          <w:bCs/>
        </w:rPr>
        <w:t xml:space="preserve">loss of autonomy</w:t>
      </w:r>
      <w:r>
        <w:t xml:space="preserve">, not by coldness as such.</w:t>
      </w:r>
    </w:p>
    <w:p>
      <w:pPr>
        <w:pStyle w:val="Heading2"/>
      </w:pPr>
      <w:r>
        <w:t xml:space="preserve">Structured intensity = flow; unstructured intensity = pathology</w:t>
      </w:r>
    </w:p>
    <w:p>
      <w:pPr>
        <w:spacing w:after="120" w:line="276"/>
      </w:pPr>
      <w:r>
        <w:t xml:space="preserve">Q3 is the most psychologically mature answer in the set. Intensity is not rejected (consistent with the Toward/stimulation profile) — it must be </w:t>
      </w:r>
      <w:r>
        <w:rPr>
          <w:b/>
          <w:bCs/>
        </w:rPr>
        <w:t xml:space="preserve">contained</w:t>
      </w:r>
      <w:r>
        <w:t xml:space="preserve">. Unstructured intensity is named precisely as “anxiety, anger, sloppy energy.” This is a person who knows his own failure mode.</w:t>
      </w:r>
    </w:p>
    <w:p>
      <w:pPr>
        <w:pStyle w:val="Heading2"/>
      </w:pPr>
      <w:r>
        <w:t xml:space="preserve">The body is a truth-oracle</w:t>
      </w:r>
    </w:p>
    <w:p>
      <w:pPr>
        <w:spacing w:after="120" w:line="276"/>
      </w:pPr>
      <w:r>
        <w:t xml:space="preserve">Q6 — “so I can know the truth by my body” — means truth is validated kinesthetically, not analytically. Combined with the Q1/Q5 internal-confirmation loop, </w:t>
      </w:r>
      <w:r>
        <w:rPr>
          <w:b/>
          <w:bCs/>
        </w:rPr>
        <w:t xml:space="preserve">two of the three validation channels are internal</w:t>
      </w:r>
      <w:r>
        <w:t xml:space="preserve">, which is exactly why the report’s “External first” feedback claim looks like a genuine contradiction (see Part 2).</w:t>
      </w:r>
    </w:p>
    <w:p>
      <w:pPr>
        <w:pStyle w:val="Heading2"/>
      </w:pPr>
      <w:r>
        <w:t xml:space="preserve">The three “I don’t know” answers are the cleanest signal</w:t>
      </w:r>
    </w:p>
    <w:p>
      <w:pPr>
        <w:spacing w:after="120" w:line="276"/>
      </w:pPr>
      <w:r>
        <w:t xml:space="preserve">These are not failures — they are the most honest data in the report, and the source report under-uses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Q7 (shadowfruit→afterfruit) and Q8 (body witness) are Brotherhood coinage terms. They failed because the terms were not grounded for the respondent — not because the capacity is absent. This is the exact template-echo / borrowed-direction problem: the question assumed its own vocabulary was shared. The instrument failed, not the subject.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Q9 (somatic resistance posture) is different and more telling: he names the body as a truth-oracle (Q6) but cannot describe what his body does under resistance. That is a real, specific calibration gap — he reads the body’s “yes” but has not mapped its “no.”</w:t>
      </w:r>
    </w:p>
    <w:p>
      <w:pPr>
        <w:pStyle w:val="Heading1"/>
        <w:pageBreakBefore/>
      </w:pPr>
      <w:r>
        <w:t xml:space="preserve">Part 2 — Grading the Calibration</w:t>
      </w:r>
    </w:p>
    <w:p>
      <w:pPr>
        <w:spacing w:after="180" w:line="276"/>
      </w:pPr>
      <w:r>
        <w:t xml:space="preserve">Graded as an instrument — the report’s quality, not the subject. Scored on the dimensions that matter for a calibration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5060"/>
      </w:tblGrid>
      <w:tr>
        <w:trPr>
          <w:tblHeader/>
        </w:trP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F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F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F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Reasoning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Fidelity (answers recorded accurately)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Verbatim answers preserved; "I don’t know" not papered over. The report’s biggest strength.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Interpretation rigor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B−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Labels are correct but surface-level. Q1 and Q5 share an identical strategy that is never connected.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Evidentiary discipline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C+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Block 2 asserts ~14 meta-programs but only ~9 answers are shown. Several claims have no visible supporting answer.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Internal consistency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"External first" feedback contradicts the internally-generated validation in Q1, Q5, Q6.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Framework coverage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Three lenses is ambitious; meta-program layer strong. Dilts levels thin; Hall neuro-semantics barely operationalized.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Honesty about completeness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A−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Clearly states 160/200 and flags Blocks 8–10 as outstanding. No overclaiming.</w:t>
            </w:r>
          </w:p>
        </w:tc>
      </w:tr>
    </w:tbl>
    <w:p>
      <w:pPr>
        <w:spacing w:after="120" w:before="220"/>
      </w:pPr>
      <w:r>
        <w:rPr>
          <w:b/>
          <w:bCs/>
          <w:color w:val="1B474D"/>
          <w:sz w:val="28"/>
          <w:szCs w:val="28"/>
        </w:rPr>
        <w:t xml:space="preserve">Overall grade: B− / 81%</w:t>
      </w:r>
    </w:p>
    <w:p>
      <w:pPr>
        <w:spacing w:after="200" w:line="276"/>
      </w:pPr>
      <w:r>
        <w:t xml:space="preserve">A trustworthy, well-organized transcript with a strong meta-program core, undermined by interpretation that stays on the surface and claims that outrun the visible evidence.</w:t>
      </w:r>
    </w:p>
    <w:p>
      <w:pPr>
        <w:pStyle w:val="Heading2"/>
      </w:pPr>
      <w:r>
        <w:t xml:space="preserve">The three fixes that would move it to an A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Trace every Block 2 claim to an answer number. </w:t>
      </w:r>
      <w:r>
        <w:t xml:space="preserve">If “nausea as early warning” and “External first” cannot be cited to a specific answer, cut them or mark them provisional. Highest-leverage fix — it converts assertion into evidence.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Resolve the internal-vs-external feedback contradiction. </w:t>
      </w:r>
      <w:r>
        <w:t xml:space="preserve">Three answers point internal; Block 2 says external. One is wrong, or the distinction is context-dependent (internal for self-worth, external for task quality) — and that nuance is itself a finding.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Connect Q1 and Q5 explicitly. </w:t>
      </w:r>
      <w:r>
        <w:t xml:space="preserve">They reveal one repeating strategy (declare-great → future-image → pride). Naming it as a single load-bearing pattern is worth more than the 14 separate labels — it is the actual operating system underneath them.</w:t>
      </w:r>
    </w:p>
    <w:p>
      <w:pPr>
        <w:pStyle w:val="Heading1"/>
      </w:pPr>
      <w:r>
        <w:t xml:space="preserve">Bottom Line</w:t>
      </w:r>
    </w:p>
    <w:p>
      <w:pPr>
        <w:spacing w:after="60" w:line="276"/>
      </w:pPr>
      <w:r>
        <w:t xml:space="preserve">The calibration captures a </w:t>
      </w:r>
      <w:r>
        <w:rPr>
          <w:b/>
          <w:bCs/>
        </w:rPr>
        <w:t xml:space="preserve">Toward + Options + Global + Associated + Mismatcher</w:t>
      </w:r>
      <w:r>
        <w:t xml:space="preserve"> processor with two top-tier values usually in tension — permanence (visually anchored to scripture) and freedom (the tripwire). His validation is largely self-generated and forward-looking, which is a strength for momentum and a blind spot for disconfirmation. The honest gaps (Q7–Q9) point not at deficits but at where the instrument’s own vocabulary outran shared meaning — the same lesson the Scuba grounding work surfaced. Finish Blocks 8–10, cite every claim to an answer, and this becomes an A-grade map of how this mind actually runs.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974"/>
        <w:sz w:val="16"/>
        <w:szCs w:val="16"/>
      </w:rPr>
      <w:t xml:space="preserve">NLP Calibration Interpretation &amp; Grade · Samuel A. Russell · June 5, 2026 — Page </w:t>
    </w:r>
    <w:r>
      <w:rPr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974"/>
        <w:sz w:val="16"/>
        <w:szCs w:val="16"/>
      </w:rPr>
      <w:t xml:space="preserve"> of </w:t>
    </w:r>
    <w:r>
      <w:rPr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7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080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 Calibration — Interpretation &amp; Grade</dc:title>
  <dc:creator>Perplexity (Brotherhood)</dc:creator>
  <cp:lastModifiedBy>Un-named</cp:lastModifiedBy>
  <cp:revision>1</cp:revision>
  <dcterms:created xsi:type="dcterms:W3CDTF">2026-06-05T10:15:14.479Z</dcterms:created>
  <dcterms:modified xsi:type="dcterms:W3CDTF">2026-06-05T10:15:14.480Z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