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1" w:lineRule="atLeast"/>
        <w:ind w:left="0" w:right="0"/>
        <w:jc w:val="center"/>
        <w:textAlignment w:val="baseline"/>
        <w:rPr>
          <w:spacing w:val="0"/>
          <w:sz w:val="24"/>
          <w:szCs w:val="24"/>
        </w:rPr>
      </w:pPr>
      <w:bookmarkStart w:id="0" w:name="_GoBack"/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RESIDENTIAL REHAB FIX &amp; FLIP LOANS</w:t>
      </w:r>
      <w:bookmarkEnd w:id="0"/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Rehab Fix and Flip Loan Program for Residential Property: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We offer the following purchase and rehab loan options: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Purchase and Rehab (12-18 months)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Loan Amount: $75k-$3M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of Purchase price: up to 75% for new investors or 90% LTV for experienced investors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LTC of Rehab amount: 100%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Max Loan to ARV:  up to 75%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Minimum As-Is Appraised Value: $50k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Collateral: Non-owner Occupied 1-4 Family Residential Properties; Warrantable Condos; Townhomes; Planned Unit Developments (PUDs)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Term: 12 months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Rate: Starting at 10.99%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Points: Vary based on loan amount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Score: 650 Minimum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No pre-payment penalty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Bridge Loan (12-18 month)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Loan Amount: $75k-$3M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Minimum As-Is Appraised Value: $50k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of Purchase price: up to 75%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Refinance : up to 70%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Refinance cash out: up to 65%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Collateral: Non-owner Occupied 1-4 Family Residential Properties; Warrantable Condos; Townhomes; Planned Unit Developments (PUDs)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Term: 12-18 months extensions available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Pre-payment penalty: No Prepayment Penalty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Rate: Starting at 11.49%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Points: Vary based on loan amount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Score: 650 Minimum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Borrower Parameters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 borrower seeking a hard money loan must meet the following generally stated minimum requirements. Specific minimum requirements are set following our receipt of a loan application.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Preferred borrowers can be Corporations or Limited Liability Companies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Reasonable existing income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Reasonable cash reserves of about 10-15%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Reasonable net worth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 – 650 or better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Ability to perform exit strategy required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Property Types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1-4 Family Residential Properties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Warrantable and Non-Warrantable Condos 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Townhomes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Planned Unit Developments (PUDs)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Documents for Purchase and Rehab Loans: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Application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Rehab Budget Form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Valid ID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Purchase and sale agreement for the property, if already under contract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Sixty (60) consecutive days of statements of accounts for liquid assets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We will need the following documentation for the entity in which you will be vesting title: Certified Articles, Certificate of Good Standing, Executed Operating Agreement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Insurance policy quote for the property prior to closing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Contact information for your closing attorney or title company</w:t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16AD57"/>
    <w:multiLevelType w:val="multilevel"/>
    <w:tmpl w:val="4616A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CD9AF"/>
    <w:rsid w:val="FDDCD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2024-06-27T13:22:00Z</dcterms:created>
  <dc:creator>Cheryl Hilario</dc:creator>
  <cp:lastModifiedBy>Cheryl Hilario</cp:lastModifiedBy>
  <dcterms:modified xsi:type="dcterms:W3CDTF">2024-06-27T13:35:48Z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</Properties>
</file>