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31" w:lineRule="atLeast"/>
        <w:ind w:left="0" w:right="0"/>
        <w:jc w:val="center"/>
        <w:textAlignment w:val="baseline"/>
        <w:rPr>
          <w:spacing w:val="0"/>
          <w:sz w:val="24"/>
          <w:szCs w:val="24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RESIDENTIAL REHAB FIX &amp; FLIP LOANS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Rehab Fix and Flip Loan Program for Residential Property: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offer the following purchase and rehab loan options: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Purchase and Rehab (12-18 months)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Loan Amount: $75k-$3M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of Purchase price: up to 75% for new investors or 90% LTV for experienced investors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LTC of Rehab amount: 100%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Max Loan to ARV:  up to 75%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Minimum As-Is Appraised Value: $50k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Collateral: Non-owner Occupied 1-4 Family Residential Properties; Warrantable Condos; Townhomes; Planned Unit Developments (PUDs)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Term: 12 months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Rate: Starting at 10.99%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Points: Vary based on loan amount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Score: 650 Minimum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No pre-payment penalty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Bridge Loan (12-18 month)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Loan Amount: $75k-$3M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Minimum As-Is Appraised Value: $50k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of Purchase price: up to 75%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Refinance : up to 70%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LTV Refinance cash out: up to 65%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Collateral: Non-owner Occupied 1-4 Family Residential Properties; Warrantable Condos; Townhomes; Planned Unit Developments (PUDs)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Term: 12-18 months extensions available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Pre-payment penalty: No Prepayment Penalty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Rate: Starting at 11.49%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Points: Vary based on loan amount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Score: 650 Minimum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Borrower Parameters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 borrower seeking a hard money loan must meet the following generally stated minimum requirements. Specific minimum requirements are set following our receipt of a loan application.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Preferred borrowers can be Corporations or Limited Liability Companies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existing income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cash reserves of about 10-15%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Reasonable net worth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Credit score – 650 or better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Ability to perform exit strategy required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u w:val="single"/>
          <w:bdr w:val="none" w:color="auto" w:sz="0" w:space="0"/>
          <w:vertAlign w:val="baseline"/>
        </w:rPr>
        <w:t>Property Types</w:t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: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1-4 Family Residential Properties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Warrantable and Non-Warrantable Condos 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Townhomes</w:t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Planned Unit Developments (PUDs)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​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Documents for Purchase and Rehab Loans: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Application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Rehab Budget Form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Valid ID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Purchase and sale agreement for the property, if already under contract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Sixty (60) consecutive days of statements of accounts for liquid assets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We will need the following documentation for the entity in which you will be vesting title: Certified Articles, Certificate of Good Standing, Executed Operating Agreement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Insurance policy quote for the property prior to closing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textAlignment w:val="baseline"/>
        <w:rPr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vertAlign w:val="baseline"/>
        </w:rPr>
        <w:t>Contact information for your closing attorney or title company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 w:hanging="360"/>
        <w:textAlignment w:val="baseline"/>
        <w:rPr>
          <w:spacing w:val="0"/>
          <w:sz w:val="24"/>
          <w:szCs w:val="24"/>
        </w:rPr>
      </w:pPr>
    </w:p>
    <w:p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EF83BB"/>
    <w:multiLevelType w:val="multilevel"/>
    <w:tmpl w:val="F0EF83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CE3CF4"/>
    <w:rsid w:val="F7CE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Office_5.7.1.8093_F1E327BC-269C-435d-A152-05C5408002CA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2024-06-27T20:48:00Z</dcterms:created>
  <dc:creator>Cheryl Hilario</dc:creator>
  <cp:lastModifiedBy>Cheryl Hilario</cp:lastModifiedBy>
  <dcterms:modified xsi:type="dcterms:W3CDTF">2024-06-27T20:50:22Z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1033-5.7.1.8093</vt:lpwstr>
  </property>
</Properties>
</file>