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4"/>
        <w:gridCol w:w="720"/>
        <w:gridCol w:w="3168"/>
        <w:gridCol w:w="1872"/>
        <w:gridCol w:w="1872"/>
        <w:gridCol w:w="864"/>
        <w:gridCol w:w="864"/>
        <w:gridCol w:w="864"/>
        <w:gridCol w:w="864"/>
        <w:gridCol w:w="1296"/>
        <w:gridCol w:w="864"/>
        <w:gridCol w:w="1152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Step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Predictors in model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Dropped this step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Status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AIC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AICc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BIC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QM (df)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Pseudo R2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% of Total CO2 flux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 + pH (z) + Mean annual precipitation (z) + Discharge (z)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369.068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370.450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386.488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6.90 (4)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0.1801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 + pH (z) + 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annual precipitation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366.161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367.186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381.093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6.83 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0.1866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 + 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366.134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366.857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378.578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4.80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368.810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369.286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378.764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2.90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0.1310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(intercept only)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372.335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372.618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379.801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3.15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pathway flux (C g/m²/day)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 + pH (z) + Mean annual precipitation (z) + 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7.22 (4)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0.1157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 (z) + Mean annual precipitation (z) + 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6.18 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0.1156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 (z) + Mean annual precipitation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5.08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annual precipitation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2.45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(intercept only)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42.54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0.0122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External pathway flux (C g/m²/day)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 + pH (z) + Mean annual precipitation (z) + 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248.368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6.54 (4)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 + Mean annual precipitation (z) + 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243.436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6.41 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 + Mean annual precipitation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Discharge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235.886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3.52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annual precipitation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221.926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2.48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(intercept only)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(z)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220.541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220.823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228.007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33.01 (1)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0.0367</w:t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 four candidate predictors are eliminated in sequence, one at a time (weakest individual coefficient p-value dropped first), down to the intercept-only model. The reported model is whichever step reaches a significant omnibus test (QM p&lt;0.05); if more than one does, the one explaining the most variance (pseudo R²) is reported. The intercept-only step is excluded from this check -- its QM test asks whether the intercept differs from zero, not whether the predictors matter, so it does not compete for selection.</w:t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Pseudo R² = 1 − (Σσ²_model / Σσ²_null): summed random-effects variance components (σ², one per level of the random-effects structure) in this model vs. in an intercept-only null model with the SAME random-effects structure and data. This is the Nakagawa/Cheung-style meta-analytic pseudo R² -- it measures how much of the total between-study/between-row heterogeneity the fixed effects explain, NOT an OLS R² (there is no residual/error variance being partitioned).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2026-09-14T13:02:03Z</dcterms:modified>
  <cp:category/>
</cp:coreProperties>
</file>