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% of Total CO2 flux</w:t>
            </w:r>
          </w:p>
        </w:tc>
        <w:tc>
          <w:tcPr>
            <w:gridSpan w:val="3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pathway flux (C g/m²/day)</w:t>
            </w:r>
          </w:p>
        </w:tc>
        <w:tc>
          <w:tcPr>
            <w:gridSpan w:val="3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 pathway flux (C g/m²/day)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Slope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Slope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Slope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-0.275*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Discharge (z)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-0.360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1296"/>
        <w:gridCol w:w="1296"/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Var: Citation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Var: Citation/Row_ID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log-Lik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AICc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QM (df)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QM p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Pseudo R2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% of Total CO2 flux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2.6755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-168.817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351.634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353.108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368.650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5.95 (4)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pathway flux (C g/m²/day)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-105.255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5.99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0.0548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External pathway flux (C g/m²/day)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-102.396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218.792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220.266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235.808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5.65 (4)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-0.0379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Pseudo R² = 1 − (Σσ²_model / Σσ²_null): summed random-effects variance components (σ², one per level of the random-effects structure) in this model vs. in an intercept-only null model with the SAME random-effects structure and data. This is the Nakagawa/Cheung-style meta-analytic pseudo R² -- it measures how much of the total between-study/between-row heterogeneity the fixed effects explain, NOT an OLS R² (there is no residual/error variance being partitioned).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2026-09-14T12:58:25Z</dcterms:modified>
  <cp:category/>
</cp:coreProperties>
</file>