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576"/>
        <w:gridCol w:w="792"/>
        <w:gridCol w:w="792"/>
        <w:gridCol w:w="792"/>
        <w:gridCol w:w="792"/>
        <w:gridCol w:w="792"/>
        <w:gridCol w:w="792"/>
        <w:gridCol w:w="1080"/>
        <w:gridCol w:w="936"/>
        <w:gridCol w:w="1296"/>
        <w:gridCol w:w="1080"/>
      </w:tblGrid>
      <w:tr>
        <w:trPr>
          <w:trHeight w:val="360" w:hRule="auto"/>
          <w:tblHeader/>
        </w:trPr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Response (flux pathways log10)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Site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Slope (β)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Discharge Slope (c)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Interaction (b)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ΔAIC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Pseudo-R² (cor²)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Favors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(b)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(b)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 CO2 Flux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25.49*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Tied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1.29*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0.48*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0.56*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CO2 Flux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-0.42*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0.85*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1.21*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0.37*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0.72*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-2.00*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 CO2 Flux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14.35*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-2.00*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0.68*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0.51*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Contribution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19.67*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0.24*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2.71*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4.20*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1.13*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-39.26*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-19.56*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-0.29*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2026-08-31T17:43:50Z</dcterms:modified>
  <cp:category/>
</cp:coreProperties>
</file>