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4"/>
        <w:gridCol w:w="720"/>
        <w:gridCol w:w="3168"/>
        <w:gridCol w:w="1872"/>
        <w:gridCol w:w="1872"/>
        <w:gridCol w:w="864"/>
        <w:gridCol w:w="864"/>
        <w:gridCol w:w="864"/>
        <w:gridCol w:w="864"/>
        <w:gridCol w:w="1296"/>
        <w:gridCol w:w="864"/>
        <w:gridCol w:w="1152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Step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Predictors in model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Dropped this step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Status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k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AIC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AICc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BIC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QM (df)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Pseudo R2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Internal % of Total CO2 flux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 + pH (z) + Mean annual precipitation (z) + Discharge (z)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369.068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370.450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386.488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6.90 (4)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0.1801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 + pH (z) + Discharge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 annual precipitation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366.161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367.186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381.093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6.83 (3)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0.1866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 + Discharge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366.134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366.857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378.578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4.80 (2)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0.1740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Discharge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368.810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369.286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378.764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2.90 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0.1310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(intercept only)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372.335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372.618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379.801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3.15 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0.0250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Internal pathway flux (C g/m²/day)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 + pH (z) + Mean annual precipitation (z) + Discharge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249.630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7.22 (4)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0.1157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 (z) + Mean annual precipitation (z) + Discharge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231.249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6.18 (3)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0.1156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 (z) + Mean annual precipitation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Discharge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229.697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5.08 (2)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 annual precipitation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231.329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231.805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241.284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2.45 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0.0564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(intercept only)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233.696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42.54 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0.0122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External pathway flux (C g/m²/day)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 + pH (z) + Mean annual precipitation (z) + Discharge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230.947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248.368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6.54 (4)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0.0884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 + Mean annual precipitation (z) + Discharge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228.504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229.529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6.41 (3)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0.0976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 + Mean annual precipitation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Discharge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223.442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235.886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3.52 (2)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0.0903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 annual precipitation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221.450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221.926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231.405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2.48 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0.0705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(intercept only)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220.541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220.823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228.007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33.01 (1)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0.0367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 four candidate predictors are eliminated in sequence, one at a time (weakest individual coefficient p-value dropped first), down to the intercept-only model. The reported model is whichever step reaches a significant omnibus test (QM p&lt;0.05); if more than one does, the one explaining the most variance (pseudo R²) is reported. The intercept-only step is excluded from this check -- its QM test asks whether the intercept differs from zero, not whether the predictors matter, so it does not compete for selection.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Pseudo R² = 1 − (Σσ²_model / Σσ²_null): summed random-effects variance components (σ², one per level of the random-effects structure) in this model vs. in an intercept-only null model with the SAME random-effects structure and data. This is the Nakagawa/Cheung-style meta-analytic pseudo R² -- it measures how much of the total between-study/between-row heterogeneity the fixed effects explain, NOT an OLS R² (there is no residual/error variance being partitioned).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2026-09-15T15:15:25Z</dcterms:modified>
  <cp:category/>
</cp:coreProperties>
</file>