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576"/>
        <w:gridCol w:w="792"/>
        <w:gridCol w:w="792"/>
        <w:gridCol w:w="792"/>
        <w:gridCol w:w="792"/>
        <w:gridCol w:w="792"/>
        <w:gridCol w:w="792"/>
        <w:gridCol w:w="1080"/>
        <w:gridCol w:w="936"/>
        <w:gridCol w:w="1296"/>
        <w:gridCol w:w="792"/>
      </w:tblGrid>
      <w:tr>
        <w:trPr>
          <w:trHeight w:val="360" w:hRule="auto"/>
          <w:tblHeader/>
        </w:trPr>
        <w:tc>
          <w:tcPr>
            <w:gridSpan w:val="1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S. Temperature and discharge effects on CO2 flux pathways: joint-model slopes (raw and standardized, with p-values), interaction term, AIC comparison, and best-supported-model fit (pseudo-R²), by response and site.</w:t>
            </w:r>
          </w:p>
        </w:tc>
      </w:tr>
      <w:tr>
        <w:trPr>
          <w:trHeight w:val="360" w:hRule="auto"/>
          <w:tblHeader/>
        </w:trPr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Response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 Slope (β)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Discharge Slope (c)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Interaction (b)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ΔAIC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Pseudo-R² (cor²)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Favors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(b)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(SD)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(b)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(SD)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log10(Total CO2 Flux)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25.49*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log10(Internal CO2 Flux)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log10(External CO2 Flux)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20.57*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-39.26*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-19.56*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-0.29*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Flux = CO2 flux (g C m⁻² day⁻¹); Q = discharge (L s⁻¹); Internal/External refer to the CO2 flux pathway (CO2 flux total = Internal + External); Internal Contribution (%) = internal's share of total CO2 flux. All models fit via generalized least squares with a continuous-time AR(1) residual correlation structure (nlme::corCAR1) to account for temporal autocorrelation in the daily flux series (see lmm_outline_synthesis.R for the residual diagnostics motivating this). Temperature Slope (β) and Discharge Slope (c) are the raw partial coefficients from the joint (No Interaction) model log10(flux) ~ TempC + log10(Q), each controlling for the other predictor; c is not a beta, it is the exponent of the log-log discharge (C-Q) rating-curve relationship. (SD) columns are the same coefficients standardized (raw slope x SD[predictor] / SD[response]) so Temperature and Discharge are directly comparable in magnitude; p columns give that term's exact p-value (&lt;0.001 shown for anything smaller). * on Temperature/Discharge/Interaction indicates p &lt; 0.05 for that term's own coefficient. Interaction (b) = the TempC:log10Q coefficient from the interaction model. Lower AIC indicates better fit. ΔAIC = AIC(No Interaction) - AIC(Interaction); positive values favor the interaction model; * marks |delta_AIC| &gt;= 2, the standard rule-of-thumb threshold (Burnham &amp; Anderson 2002) for a meaningful difference. Pseudo-R² (cor²) = squared Pearson correlation between fitted and observed values — NOT an RSS-based OLS R² (GLS's correlated residuals break that decomposition), just how well predictions track the data. It is taken from the interaction model when delta_AIC meaningfully favors it (starred, positive), and from the simpler additive (No Interaction) model otherwise. Favors = predictor (Temp or Q) with the larger absolute standardized slope.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2026-08-27T10:55:28Z</dcterms:modified>
  <cp:category/>
</cp:coreProperties>
</file>