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224"/>
        <w:gridCol w:w="1224"/>
        <w:gridCol w:w="1224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A. Do spatial factors influence the predominance of either CO2 pathway? Permutation Spearman: site-level mean log(internal / external) ratio against spatial predictors. n = 9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Wetland cover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RB flashiness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0.653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conductivity (uS cm-1)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-0.405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Positive rho = predictor associated with internal dominance; negative rho = external dominance.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2026-05-25T08:15:29Z</dcterms:modified>
  <cp:category/>
</cp:coreProperties>
</file>