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7"/>
            <w:tcBorders>
              <w:bottom w:val="single" w:sz="4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C. Do spatial factors influence the degree to which temperature impacts the internal-external CO2 regime? Permutation Spearman: temperature sensitivity slopes (m) for internal and external pathways against spatial predictors. n = 9 sites,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gridSpan w:val="3"/>
            <w:tcBorders>
              <w:bottom w:val="single" w:sz="4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Wetland cover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dashed" w:sz="4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RB flashiness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conductivity (uS cm-1)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0.357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0.071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m = partial temperature slope from log(flux) ~ TempC + Q; falls back to log(flux) ~ TempC where VIF &gt; 5. p = uncorrected permutation p-value; ph = Benjamini-Hochberg adjusted p-value. Blue rho = positive association; red rho = negative association.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2026-05-25T08:15:42Z</dcterms:modified>
  <cp:category/>
</cp:coreProperties>
</file>