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68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gridSpan w:val="7"/>
            <w:tcBorders>
              <w:bottom w:val="single" w:sz="4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D. Do spatial factors influence the degree to which discharge impacts the internal-external CO2 regime? Permutation Spearman: discharge sensitivity slopes (c) for internal and external pathways against spatial predictors. n = 9 sites, 999,999 resamples, BH-corrected.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dashed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Internal</w:t>
            </w:r>
          </w:p>
        </w:tc>
        <w:tc>
          <w:tcPr>
            <w:gridSpan w:val="3"/>
            <w:tcBorders>
              <w:bottom w:val="single" w:sz="4" w:space="0" w:color="000000"/>
              <w:top w:val="single" w:sz="4" w:space="0" w:color="000000"/>
              <w:left w:val="dashed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External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rho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dashed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dashed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rho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ph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Wetland cover (%)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  <w:t xml:space="preserve">-0.095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dashed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dashed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  <w:t xml:space="preserve">-0.024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RB flashiness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  <w:t xml:space="preserve">-0.548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dashed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dashed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  <w:t xml:space="preserve">-0.071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  <w:t xml:space="preserve">-0.143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dashed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dashed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  <w:t xml:space="preserve">-0.500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0.866</w:t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Specific conductivity (uS cm-1)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  <w:t xml:space="preserve">-0.238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dashed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0.977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dashed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  <w:t xml:space="preserve">-0.190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0.664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0.977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c = log-log discharge slope from log(flux) ~ log(Q). p = uncorrected permutation p-value; ph = Benjamini-Hochberg adjusted p-value. Blue rho = positive association; red rho = negative association. Shaded cells: p &lt; 0.05 before BH correction (near-significant).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2026-05-25T08:15:50Z</dcterms:modified>
  <cp:category/>
</cp:coreProperties>
</file>