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D(b). Does pathway dominance predict how much discharge explains the CO2 regime? Permutation Spearman: delta-R2 from drop-Q Bayesian models against mean internal fraction. n = 8 sites,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-0.714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Predictor = mean internal fraction (site-level mean of internal / total CO2 flux); higher = more internally dominated. delta-R2 = R2_dropQ - R2_full; more negative = discharge more important for that pathway. p = uncorrected permutation p-value; ph = Benjamini-Hochberg adjusted p-value. Blue rho = positive association; red rho = negative association.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2026-05-25T08:15:52Z</dcterms:modified>
  <cp:category/>
</cp:coreProperties>
</file>