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1152"/>
        <w:gridCol w:w="1152"/>
        <w:gridCol w:w="1152"/>
        <w:gridCol w:w="864"/>
        <w:gridCol w:w="864"/>
        <w:gridCol w:w="864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val="360" w:hRule="auto"/>
          <w:tblHeader/>
        </w:trPr>
        <w:tc>
          <w:tcPr>
            <w:gridSpan w:val="1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S2. Site-level comparison of internal, external, and total CO2 flux sensitivity to temperature and discharge: raw slopes by pathway, and standardized slopes grouped by pathway (with Temperature/Q as sub-columns) for direct magnitude comparison.</w:t>
            </w:r>
          </w:p>
        </w:tc>
      </w:tr>
      <w:tr>
        <w:trPr>
          <w:trHeight w:val="360" w:hRule="auto"/>
          <w:tblHeader/>
        </w:trPr>
        <w:tc>
          <w:tcPr>
            <w:vMerge w:val="restart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gridSpan w:val="3"/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 Slope (β; log10[g C m⁻² day⁻¹]·°C⁻¹)</w:t>
            </w:r>
          </w:p>
        </w:tc>
        <w:tc>
          <w:tcPr>
            <w:gridSpan w:val="3"/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Slope (c; log10[g C m⁻² day⁻¹]·log10[L s⁻¹]⁻¹)</w:t>
            </w:r>
          </w:p>
        </w:tc>
        <w:tc>
          <w:tcPr>
            <w:gridSpan w:val="9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Standardized Comparison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Favors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5.00e-02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-3.52e-03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1.61e-02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8.91e-03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-3.06e-02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7.96e-03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1.38e-02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-3.50e-02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-2.30e-02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2.54e-03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-3.35e-02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-1.56e-02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</w:t>
            </w:r>
          </w:p>
        </w:tc>
      </w:tr>
      <w:tr>
        <w:trPr>
          <w:trHeight w:val="360" w:hRule="auto"/>
        </w:trPr>
        <w:tc>
          <w:tcPr>
            <w:gridSpan w:val="1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Note. Flux = CO2 flux (g C m⁻² day⁻¹); Q = discharge (L s⁻¹); Total = total CO2 flux (internal + external). Temperature Slope (β) = coefficient from log10(flux) ~ TempC (Drop Q model), fit independently per site and pathway; units = log10(flux) per °C. Discharge Slope (c) = coefficient from log10(flux) ~ log10(Q) (Drop T model) — this is NOT a beta, it is the exponent of the log-log discharge (C-Q) rating-curve relationship; units = log10(flux) per log10(Q). Standardized Comparison = raw slope x SD(predictor) / SD(response), rescaling temperature and discharge coefficients onto the same "SD of response per SD of predictor" scale, grouped by pathway with Temperature and Q shown side by side within each so their magnitudes are directly comparable. Favors = predictor (Temp or Q) with the larger absolute standardized slope for that pathway, based on absolute standardized slope values.</w:t>
            </w:r>
          </w:p>
        </w:tc>
      </w:tr>
    </w:tbl>
    <w:sectPr>
      <w:pgMar w:header="708" w:bottom="720" w:top="720" w:right="720" w:left="72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2026-07-22T17:31:47Z</dcterms:modified>
  <cp:category/>
</cp:coreProperties>
</file>