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gridSpan w:val="9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Mean ± SD of site characteristics for the full period of record.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discharge (L s⁻¹)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± 69.3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29.9 ± 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96.7 ± 168.1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122.5 ± 103.7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594 ± 4625.7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210.4 ± 239.5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114.9 ± 212.2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68.2 ± 88.3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discharge (L s⁻¹)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 ± 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 ± 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59.3 ± 168.1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93.1 ± 103.7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 ± 4625.7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141.7 ± 239.5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 ± 212.2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35.3 ± 88.3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RB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Velocity (m s⁻¹)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 ±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±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±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 ±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 ±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 ±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± 0.09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Depth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±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±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 ±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± 0.1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k₆₀₀ (day⁻¹)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±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 ± 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± 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 ±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±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±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 ± 4.5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temp.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 ± 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 ±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65.2 ±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65.5 ±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63.6 ±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46.4 ± 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 ±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± 8.7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conductivity (μS cm⁻¹)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217.1 ± 79.2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93.1 ± 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114.2 ± 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61.3 ± 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93.9 ± 27.7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 ±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130.9 ± 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140.1 ± 26.6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7.61 ±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 ±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 ±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4.59 ± 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 ±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3.82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3.71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3.51 ± 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pCO₂ (ppm)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±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 ±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 ±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±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 ±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 ±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 ±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 ± 3.1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CO₂ flux (g C m⁻² 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14.24 ± 10.24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6.76 ± 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8.94 ±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6.62 ± 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9.26 ±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5.67 ±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 ±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 ± 2.98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GPP (g O₂ m⁻² 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±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 ±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± 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± 0.07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ER (g O₂ m⁻² 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-6.38 ± 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-8.06 ±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-8.2 ±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-5.84 ± 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-11.17 ± 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-9.36 ±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-5.29 ±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-4.2 ± 3.3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flux (g C m⁻² 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 ±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3.47 ±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3.18 ±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 ±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4.96 ±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3.66 ±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 ±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 ± 1.44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 flux (g C m⁻² day⁻¹)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11.59 ±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 ±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5.86 ±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4.69 ± 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 ±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 ±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2.55 ±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 ± 1.63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Wetland Areal Cover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Number of days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Values are mean ± SD of daily values. The total number of days included in the analysis between October 2023 and April 2025 are reported in the last row.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2026-08-19T10:01:18Z</dcterms:modified>
  <cp:category/>
</cp:coreProperties>
</file>