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872"/>
        <w:gridCol w:w="1296"/>
        <w:gridCol w:w="648"/>
        <w:gridCol w:w="576"/>
        <w:gridCol w:w="864"/>
        <w:gridCol w:w="792"/>
        <w:gridCol w:w="576"/>
        <w:gridCol w:w="864"/>
        <w:gridCol w:w="792"/>
        <w:gridCol w:w="576"/>
        <w:gridCol w:w="720"/>
      </w:tblGrid>
      <w:tr>
        <w:trPr>
          <w:trHeight w:val="360" w:hRule="auto"/>
          <w:tblHeader/>
        </w:trPr>
        <w:tc>
          <w:tcPr>
            <w:gridSpan w:val="11"/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Table Sx. Site-level temporal model comparison: OLS vs. GLS with AR(1) residuals.</w:t>
            </w:r>
          </w:p>
        </w:tc>
      </w:tr>
      <w:tr>
        <w:trPr>
          <w:trHeight w:val="360" w:hRule="auto"/>
          <w:tblHeader/>
        </w:trPr>
        <w:tc>
          <w:tcPr>
            <w:vMerge w:val="restart"/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Response</w:t>
            </w:r>
          </w:p>
        </w:tc>
        <w:tc>
          <w:tcPr>
            <w:vMerge w:val="restart"/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Predictor</w:t>
            </w:r>
          </w:p>
        </w:tc>
        <w:tc>
          <w:tcPr>
            <w:vMerge w:val="restart"/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Site</w:t>
            </w:r>
          </w:p>
        </w:tc>
        <w:tc>
          <w:tcPr>
            <w:vMerge w:val="restart"/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n</w:t>
            </w:r>
          </w:p>
        </w:tc>
        <w:tc>
          <w:tcPr>
            <w:gridSpan w:val="3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OLS</w:t>
            </w:r>
          </w:p>
        </w:tc>
        <w:tc>
          <w:tcPr>
            <w:gridSpan w:val="3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GLS-AR(1)</w:t>
            </w:r>
          </w:p>
        </w:tc>
        <w:tc>
          <w:tcPr>
            <w:vMerge w:val="restart"/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R2</w:t>
            </w:r>
          </w:p>
        </w:tc>
      </w:tr>
      <w:tr>
        <w:trPr>
          <w:trHeight w:val="360" w:hRule="auto"/>
          <w:tblHeader/>
        </w:trPr>
        <w:tc>
          <w:tcPr>
            <w:vMerge/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vMerge/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vMerge/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vMerge/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Slope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p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Sig.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Slope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p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Sig.</w:t>
            </w:r>
          </w:p>
        </w:tc>
        <w:tc>
          <w:tcPr>
            <w:vMerge/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</w:tr>
      <w:tr>
        <w:trPr>
          <w:trHeight w:val="360" w:hRule="auto"/>
        </w:trPr>
        <w:tc>
          <w:tcPr>
            <w:vMerge w:val="restart"/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Internal CO2 Flux</w:t>
            </w:r>
          </w:p>
        </w:tc>
        <w:tc>
          <w:tcPr>
            <w:vMerge w:val="restart"/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Discharge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ADBD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0.0005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0.9907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ADBD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-0.0289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0.6317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0.0000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0.4109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0.4173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0.0796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-0.0105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0.8034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-0.0553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0.3360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0.0010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0.3784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0.3642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0.4471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0.1897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0.2320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0.2712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0.6392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0.6315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0.5591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0.0424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0.6235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0.0454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0.6702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0.0059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0.2058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0.2343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0.3912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Temperature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0.0500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0.0402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0.3989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0.2936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0.0037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0.4845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0.7282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0.0077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0.0230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0.0203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0.2960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ADBD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2C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0.0419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2C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ADBD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-0.0067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2C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0.6577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2C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0.0317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ADBD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2C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2C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ADBD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-0.0028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2C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0.8240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2C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0.0275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0.2881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0.7137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0.0275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0.6712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0.0024</w:t>
            </w:r>
          </w:p>
        </w:tc>
      </w:tr>
      <w:tr>
        <w:trPr>
          <w:trHeight w:val="360" w:hRule="auto"/>
        </w:trPr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External CO2 Flux</w:t>
            </w:r>
          </w:p>
        </w:tc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Discharge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0.5763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2C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2C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0.0316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2C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0.8097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2C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0.2179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0.6596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0.6552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0.2647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0.2521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0.2228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0.3923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ADBD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-0.0064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0.9342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ADBD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0.0841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0.5514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0.0000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0.0679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2C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0.2261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2C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0.1656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2C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0.0296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2C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0.0112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0.8671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0.8158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0.7239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-0.0374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0.7306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-0.0297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0.8417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0.0029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0.3330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0.4461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0.1522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Temperature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-0.0101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0.3081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-0.0027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0.8820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0.0049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-0.0232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-0.0317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0.0295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0.0336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0.0359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2C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2C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2C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0.4561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2C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0.1068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2C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2C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0.0231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2C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0.0651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2C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0.0568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-0.0370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-0.0404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0.0468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0.0915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ADBD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2C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0.0301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2C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ADBD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-0.0178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2C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0.1775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2C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0.0156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-0.0320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2C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0.0358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2C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-0.0395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2C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0.0813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2C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0.1031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-0.0335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2C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0.0285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2C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-0.0295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2C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0.3585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2C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0.0632</w:t>
            </w:r>
          </w:p>
        </w:tc>
      </w:tr>
      <w:tr>
        <w:trPr>
          <w:trHeight w:val="360" w:hRule="auto"/>
        </w:trPr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Total CO2 Flux</w:t>
            </w:r>
          </w:p>
        </w:tc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Discharge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ADBD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0.2824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2C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2C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ADBD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-0.1097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2C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0.0874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2C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0.2343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0.5494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0.5629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0.1945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0.1157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0.1128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0.3810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0.2526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0.2569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0.2553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0.1636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0.1758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0.1170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0.7284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0.6919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0.6250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-0.0120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-0.0074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0.9540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0.0004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0.2413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0.3190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0.1936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Temperature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2C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2C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2C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0.1105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2C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0.0500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-0.0115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0.0879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-0.0194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0.1337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0.0087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2C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0.0394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2C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2C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0.4543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2C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0.0637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0.2762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-0.0245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2C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2C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-0.0413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2C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0.0572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2C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0.0725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ADBD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2C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2C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ADBD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-0.0155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2C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0.2293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2C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0.0195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-0.0230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0.0889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-0.0294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0.1328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0.0690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-0.0156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0.1137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-0.0271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0.2755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0.0335</w:t>
            </w:r>
          </w:p>
        </w:tc>
      </w:tr>
      <w:tr>
        <w:trPr>
          <w:trHeight w:val="360" w:hRule="auto"/>
        </w:trPr>
        <w:tc>
          <w:tcPr>
            <w:vMerge w:val="restart"/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Internal Contribution %</w:t>
            </w:r>
          </w:p>
        </w:tc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Discharge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ADBD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-30.6550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ADBD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16.3667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0.2271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-15.0337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-17.1388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0.0984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-12.6984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-13.2663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0.2474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16.7054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16.7816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0.0317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0.0705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12.4558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13.1557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0.1034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-12.6851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-5.8946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0.0491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0.2243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3.2562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0.2783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2.7338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0.0286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-3.5582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2C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0.4805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2C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-13.4654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2C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2C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0.0067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vMerge w:val="restart"/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Temperature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2.8060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2C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2C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0.7463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2C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0.2750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2C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0.1404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1.7711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1.3404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0.1396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-1.4625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0.0885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-1.2736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0.3845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0.0440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-0.1582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0.6522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-0.2384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0.7435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0.0012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2.9671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2C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2C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1.3381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2C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2C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0.1620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0.2392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0.1990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0.2407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0.5327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0.0055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1.4798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1.5071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0.2844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vMerge/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15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76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1.9078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2C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0.0134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2C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Y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1.7355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2C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0.2019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2C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0.0799</w:t>
            </w:r>
          </w:p>
        </w:tc>
      </w:tr>
      <w:tr>
        <w:trPr>
          <w:trHeight w:val="360" w:hRule="auto"/>
        </w:trPr>
        <w:tc>
          <w:tcPr>
            <w:gridSpan w:val="11"/>
            <w:tcBorders>
              <w:bottom w:val="none" w:sz="0" w:space="0" w:color="FFFFFF"/>
              <w:top w:val="single" w:sz="12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Note. OLS = ordinary least squares (matches site_lm_table_fun()/Q.lm/T.lm/build_pathway_trend_table() in temporal_lm.R). GLS-AR(1) = generalized least squares with a continuous-time AR(1) residual correlation structure (nlme::corCAR1; matches fit_family() in gls_temporal_analysis.R), which accounts for temporal autocorrelation in the daily series that OLS ignores. Response = log10(flux) for Internal/External/Total CO2 Flux, untransformed percentage for Internal Contribution % (100 x internal/CO2_flux, clamped at 100; see "chimney  pathway.R"). Predictor is identical for both models: log10(Q) for Discharge, raw (untransformed) TempC for Temperature. R2 for OLS is the standard linear-model R-squared; R2 for GLS-AR(1) is a pseudo-R2 (squared correlation between fitted and observed values), which is not derived the same way and should be treated as approximate. Sig. = 'Y' if p &lt; 0.05. Sites with fewer than 15 complete observations for a given response x predictor pair are omitted. Shaded cells flag disagreement between OLS and GLS-AR(1): red = the two slopes point in opposite directions; yellow = the two models' significance calls differ (one says p &lt; 0.05, the other doesn't).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2026-08-19T10:39:22Z</dcterms:modified>
  <cp:category/>
</cp:coreProperties>
</file>