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648"/>
        <w:gridCol w:w="1368"/>
        <w:gridCol w:w="1368"/>
        <w:gridCol w:w="1152"/>
        <w:gridCol w:w="1368"/>
        <w:gridCol w:w="1368"/>
        <w:gridCol w:w="1368"/>
        <w:gridCol w:w="936"/>
        <w:gridCol w:w="1728"/>
      </w:tblGrid>
      <w:tr>
        <w:trPr>
          <w:trHeight w:val="360" w:hRule="auto"/>
          <w:tblHeader/>
        </w:trPr>
        <w:tc>
          <w:tcPr>
            <w:gridSpan w:val="10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S4. Main effects of temperature and discharge alongside their interaction (GLS with AR(1) residuals), and the AIC comparison of additive (No Interaction) vs. interaction models, per site.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 (b)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(c)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Sign Match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Interaction (b)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AIC: No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AIC: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ΔAIC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ΔAIC ≥ 2?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log10(Total CO2 Flux)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-195.91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-222.18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26.27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-275.14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-273.67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log10(Internal CO2 Flux)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-225.46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426.26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(No Interaction)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log10(External CO2 Flux)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Contribution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1,576.28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1,571.79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-16.83*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2,957.81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2,958.62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-13.74*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578.68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1,505.49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1,506.95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15.13*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1,086.28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1,082.16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2,385.15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2,386.28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-13.47*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601.66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603.14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All models fit via generalized least squares with a continuous-time AR(1) residual correlation structure (nlme::corCAR1) to account for temporal autocorrelation in the daily flux series (see lmm_outline_synthesis.R for the residual diagnostics motivating this). Temperature (b) and Discharge (c) are the raw coefficients from the additive (No Interaction) model; c is the log-log discharge slope (see Table S2), not a beta. * indicates p &lt; 0.05 for that term's own coefficient. Sign Match indicates whether temperature's and discharge's main-effect coefficients share the same sign. Lower AIC indicates better fit for that site. delta_AIC = AIC(No Interaction) - AIC(Interaction); positive values favor the interaction model. ΔAIC ≥ 2? = whether the AIC difference meets the standard rule-of-thumb threshold (Burnham &amp; Anderson 2002) for meaningfully better fit; "Yes" is labeled with which model that favors, "No" means the two models are statistically indistinguishable by AIC at that site.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2026-08-19T11:12:23Z</dcterms:modified>
  <cp:category/>
</cp:coreProperties>
</file>