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76"/>
        <w:gridCol w:w="1152"/>
        <w:gridCol w:w="1152"/>
        <w:gridCol w:w="1152"/>
        <w:gridCol w:w="864"/>
        <w:gridCol w:w="864"/>
        <w:gridCol w:w="864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rHeight w:val="360" w:hRule="auto"/>
          <w:tblHeader/>
        </w:trPr>
        <w:tc>
          <w:tcPr>
            <w:gridSpan w:val="16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S2. Site-level comparison of internal, external, and total CO2 flux sensitivity to temperature and discharge (GLS with AR(1) residuals): raw slopes by pathway, and standardized slopes grouped by pathway (with Temperature/Q as sub-columns) for direct magnitude comparison.</w:t>
            </w:r>
          </w:p>
        </w:tc>
      </w:tr>
      <w:tr>
        <w:trPr>
          <w:trHeight w:val="360" w:hRule="auto"/>
          <w:tblHeader/>
        </w:trPr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gridSpan w:val="3"/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 Slope (β; log10[g C m⁻² day⁻¹]·°C⁻¹)</w:t>
            </w:r>
          </w:p>
        </w:tc>
        <w:tc>
          <w:tcPr>
            <w:gridSpan w:val="3"/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Discharge Slope (c; log10[g C m⁻² day⁻¹]·log10[L s⁻¹]⁻¹)</w:t>
            </w:r>
          </w:p>
        </w:tc>
        <w:tc>
          <w:tcPr>
            <w:gridSpan w:val="9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Standardized Comparison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gridSpan w:val="3"/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gridSpan w:val="3"/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4.02e-02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-2.69e-03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1.43e-02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-3.17e-02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-6.75e-03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-2.78e-03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-3.95e-02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5.87e-03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-2.95e-02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-2.71e-02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gridSpan w:val="16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Flux = CO2 flux (g C m⁻² day⁻¹); Q = discharge (L s⁻¹); Total = total CO2 flux (internal + external). All models fit via generalized least squares with a continuous-time AR(1) residual correlation structure (nlme::corCAR1) to account for temporal autocorrelation in the daily flux series (see lmm_outline_synthesis.R for the residual diagnostics motivating this). Temperature Slope (β) = coefficient from log10(flux) ~ TempC (Drop Q model), fit independently per site and pathway; units = log10(flux) per °C. Discharge Slope (c) = coefficient from log10(flux) ~ log10(Q) (Drop T model) — this is NOT a beta, it is the exponent of the log-log discharge (C-Q) rating-curve relationship; units = log10(flux) per log10(Q). Standardized Comparison = raw slope x SD(predictor) / SD(response), rescaling temperature and discharge coefficients onto the same "SD of response per SD of predictor" scale, grouped by pathway with Temperature and Q shown side by side within each so their magnitudes are directly comparable. Favors = predictor (Temp or Q) with the larger absolute standardized slope for that pathway, based on absolute standardized slope values.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2026-08-19T11:12:02Z</dcterms:modified>
  <cp:category/>
</cp:coreProperties>
</file>