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3456"/>
        <w:gridCol w:w="1008"/>
        <w:gridCol w:w="1008"/>
        <w:gridCol w:w="1008"/>
        <w:gridCol w:w="1008"/>
      </w:tblGrid>
      <w:tr>
        <w:trPr>
          <w:trHeight w:val="360" w:hRule="auto"/>
          <w:tblHeader/>
        </w:trPr>
        <w:tc>
          <w:tcPr>
            <w:gridSpan w:val="6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Table 1. Do temperature, rainfall, pH, or discharge relate to internal vs. external CO2 pathway magnitude, or the internal pathway's percent contribution to total CO2 flux, across streams (literature meta-analysis)? Permutation Spearman rank correlation, n = 18 papers (same-river reaches averaged); 47 rows total, per-test n varies with each predictor's missing data (see n column). 999,999 resamples, BH-corrected across 12 tests.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rho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 Contribution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0.467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0.622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Flux in g C m-2 day-1. Internal Contribution % = 100 x Internal / (Internal + External), clamped to [0, 100]; higher values indicate internal-pathway dominance, lower values indicate external-pathway dominance, 50 = pathways contribute equally. Used in place of the log10(Internal/External) ratio from earlier drafts because that ratio is undefined (or sign-flipped in a way that doesn't mean 'more external') when either pathway is a negative net-uptake estimate, which forced dropping those rows; the percent-contribution form stays interpretable at 0/100 for those cases instead. p = uncorrected permutation p-value; ph = Benjamini-Hochberg adjusted p-value. Shaded cells: green = p &lt; 0.05 after BH correction (significant); yellow = p &lt; 0.05 before BH correction only (near-significant, does not survive correction).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2304"/>
        <w:gridCol w:w="936"/>
        <w:gridCol w:w="936"/>
        <w:gridCol w:w="936"/>
        <w:gridCol w:w="936"/>
        <w:gridCol w:w="936"/>
        <w:gridCol w:w="936"/>
      </w:tblGrid>
      <w:tr>
        <w:trPr>
          <w:trHeight w:val="360" w:hRule="auto"/>
          <w:tblHeader/>
        </w:trPr>
        <w:tc>
          <w:tcPr>
            <w:gridSpan w:val="8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Table 2. Does dominant source water or biome relate to internal vs. external CO2 pathway magnitude, or the internal pathway's percent contribution to total CO2 flux, across streams (literature meta-analysis)? Kruskal-Wallis rank-sum test, same-river reaches averaged, BH-corrected across 6 tests.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Grouping factor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 groups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6.060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0.195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0.195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7.952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 Contribution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11.514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0.009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0.028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Flux in g C m-2 day-1. Internal Contribution % = 100 x Internal / (Internal + External), clamped to [0, 100] (n = 47); higher values indicate internal-pathway dominance, lower values indicate external-pathway dominance. Source water = Source_Water_Brief (4 levels); Biome = Biome_Category (5 levels; Alpine/Boreal/Arctic pooled into one 'Cryospheric Zone' category, each individually a 1-2-paper group). Small groups (e.g. Arid) limit power for these factors -- treat as exploratory. p = uncorrected Kruskal-Wallis p-value; ph = Benjamini-Hochberg adjusted p-value across the 6 response x factor tests. Shaded cells: green = p &lt; 0.05 after BH correction (significant); yellow = p &lt; 0.05 before BH correction only (near-significant, does not survive correction).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6"/>
        <w:gridCol w:w="1872"/>
        <w:gridCol w:w="3168"/>
        <w:gridCol w:w="1008"/>
        <w:gridCol w:w="1008"/>
        <w:gridCol w:w="1008"/>
      </w:tblGrid>
      <w:tr>
        <w:trPr>
          <w:trHeight w:val="317" w:hRule="auto"/>
          <w:tblHeader/>
        </w:trPr>
        <w:tc>
          <w:tcPr>
            <w:gridSpan w:val="6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Table 3. Dunn's pairwise post-hoc comparisons following the Kruskal-Wallis tests in Table 2 (Benjamini-Hochberg adjusted within each response x factor combination). See Table 6 for a category-level rollup of these same comparisons.</w:t>
            </w:r>
          </w:p>
        </w:tc>
      </w:tr>
      <w:tr>
        <w:trPr>
          <w:trHeight w:val="317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Grouping factor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Comparison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Z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ph</w:t>
            </w:r>
          </w:p>
        </w:tc>
      </w:tr>
      <w:tr>
        <w:trPr>
          <w:trHeight w:val="317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Internal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Tropical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1.798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0.379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0.633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Drylands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-2.744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-1.887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Surface runoff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0.501</w:t>
            </w:r>
          </w:p>
        </w:tc>
      </w:tr>
      <w:tr>
        <w:trPr>
          <w:trHeight w:val="317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External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0.539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Drylands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Surface runoff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0.183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0.837</w:t>
            </w:r>
          </w:p>
        </w:tc>
      </w:tr>
      <w:tr>
        <w:trPr>
          <w:trHeight w:val="317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Internal Contribution %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0.429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0.533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Drylands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Surface runoff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Wetland seepage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-0.512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0.609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0.609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Comparisons involving groups with very small n (e.g. Regulated flow, Arid) are exploratory only. p = uncorrected Dunn's test p-value; ph = Benjamini-Hochberg adjusted p-value, corrected separately within each response x grouping-factor block (i.e. within the set of pairwise comparisons for a given pathway x factor combination, not across the whole table). Shaded cells: green = p &lt; 0.05 after this within-block BH correction (significant); yellow = p &lt; 0.05 before correction only (near-significant).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4"/>
        <w:gridCol w:w="1440"/>
        <w:gridCol w:w="28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gridSpan w:val="6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Table 4. Post-hoc (observed) statistical power for the Tables 1-2 tests, at alpha = 0.05. Reported for transparency given this is an exploratory analysis, not as a design/validity check.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Test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Predictor / factor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Effect size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Power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Kruskal-Wallis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Internal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Internal Contribution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0.79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Spearman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Internal Contribution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rho=0.32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0.61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Spearman power approximated via the Pearson-r method (pwr.r.test) using the observed rho. Kruskal-Wallis power approximated by converting H to an ANOVA-equivalent eta-squared, then Cohen's f (pwr.anova.test), assuming balanced groups of size n/k -- an approximation given this data's uneven group sizes. Shaded cells: power &lt; 0.80 (conventional adequacy threshold, Cohen 1988). Post-hoc power is mathematically tied to the test's own p-value and should not be used to argue a non-significant result would have been significant with more power.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16"/>
        <w:gridCol w:w="1584"/>
        <w:gridCol w:w="1296"/>
        <w:gridCol w:w="1728"/>
        <w:gridCol w:w="1008"/>
        <w:gridCol w:w="1008"/>
        <w:gridCol w:w="1872"/>
        <w:gridCol w:w="4032"/>
      </w:tblGrid>
      <w:tr>
        <w:trPr>
          <w:trHeight w:val="360" w:hRule="auto"/>
          <w:tblHeader/>
        </w:trPr>
        <w:tc>
          <w:tcPr>
            <w:gridSpan w:val="8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Table 5. Papers contributing to the Internal/External site-level tests (Tables 1-2), their biome/source-water categorization, replication structure, and how each paper's Internal/External pathway values were originally derived. n = 18 papers; 47 rows enter the Internal/External tests after paper-level collapsing.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Citation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DOI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Biome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Source water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Reaches/time-periods extracted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Rows in Tables 1-2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Collapsed to paper average?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Internal/External estimation method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(Kirk &amp; Cohen, 2023)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10.1029/2022JG006954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Groundwater-fed; Wetland seepage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External solved first: RIP+TER+AQU, the paper's own published riparian/terrestrial/aquifer mass-balance partition (not a residual). Internal from GPP/AR via the O2 formula -- both independently derived; CO2_flux mass-balance residual reported as a check, not forced to zero.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(Carter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10.1029/2022JG007048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O2 metabolism (GPP/ER, RQ=1.0): Internal solved first; External = CO2_flux - Internal (residual).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(Rocher-Ros et al.,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10.1111/gcb.14895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Cryospheric Zone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O2 metabolism (GPP/ER, RQ=1.0): Internal solved first; External = CO2_flux - Internal (residual).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(Taillardat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10.1029/2022JG006855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Cryospheric Zone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Mixed;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metabolism data. Both terms derived directly and simultaneously from the paper's own reach-level source split applied to CO2_flux: External = 81% (porewater), Internal = 17% (in-stream metabolism); remaining 2% (CH4 oxidation) excluded from both.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(Aho et al., 2021)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10.1002/lol2.10195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O2 metabolism, raw streamMetabolizer GPP/ER (RQ=1.0), QA-filtered to physically valid days; CO2_flux computed via Fick's law (K600 + Schmidt number). Internal solved first; External = residual.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(Demars,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10.1002/lno.11048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(Bernal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10.1002/lno.12226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Drylands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O2 metabolism (GPP/ER, RQ=1.0): Internal solved first; External = CO2_flux - Internal (residual).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(Rexroade et al., 2026)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10.1002/lno.70372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O2 metabolism (GPP/ER, RQ=1.0), reach-level (not split by site); External = residual. Same Internal/External/CO2_flux value applied to both the upstream and downstream site rows.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(Khadka et al., 2014)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10.1016/j.jhydrol.2014.03.070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Groundwater-fed;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 REPORTED. No metabolism (GPP/ER/NEP) data -- a delta13C-DIC geochemical study splitting carbon into biogenic vs. geogenic sources, both 'external' under this framework; computing a split would fabricate a number the paper doesn't report.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(Duvert et al.,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10.1029/2018JG004912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External solved first: paper's own 222Rn-traced groundwater CO2 flux (radon mass balance, not the GPP/ER formula); Internal = CO2_flux - External (residual).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(Moustapha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10.5194/bg-19-137-2022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Mixed;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Internal = directly measured heterotrophic respiration (serum-bottle incubation), available at only 2 of 6 stations; External = CO2_flux - Internal (residual) where Internal available, else both NOT REPORTED.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(Nguyen et al., 2025)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10.5194/bg-22-4923-2025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— averaged to 1 paper-level row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Already carbon-referenced by the authors: Internal = -NEP (paper's own sign convention, cross-checked against reported GPP/ER); External = paper's own stated 'External CO2 = FCO2 + NEP' (algebraically identical to the CO2_flux - Internal residual).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(Gomez-Gener et al., 2016)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10.1002/2016JG003549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Drylands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(Lupon et al.,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10.1002/lno.11134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Cryospheric Zone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External solved first: midpoint of the paper's own stated 34-66% groundwater CO2-contribution range x CO2_flux; Internal = CO2_flux - External (residual). Paper reports percentage ranges only, no absolute fluxes.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(Solano et al.,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10.1002/lno.12334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Already carbon-referenced by the authors (PQ/RQ Monte Carlo): Internal = paper's own median NEP; External = CO2_flux - Internal (residual) -- negative here, a real reported finding (excess internal CO2 exported downstream as dissolved CO2/DIC rather than evading locally), not floored at zero.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(Marzolf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10.1007/s10533-022-00954-4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Internal = paper's own median NEP; External = paper's own median GWCO2 (groundwater CO2 flux) -- both independently measured, neither back-calculated from the other.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(Gong et al., 2021)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10.1016/j.ecolind.2021.108136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Already carbon-referenced by the authors: Internal = -NEP (paper's own whole-study value); External = CO2_flux - Internal (residual).</w:t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(Wang et al., 2021)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10.1016/j.scitotenv.2021.146230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Drylands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Internal (O2 mass balance) and External (222Rn/water mass balance x groundwater CO2 concentration) both independently modeled by the paper's authors, neither a residual of the other; CO2_flux is a third independent term (Fick's law). Internal+External exceeds CO2_flux here -- paper attributes the gap to carbonate buffering and downstream dissolved-CO2 export.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Biome/Source water = the category (or categories) actually assigned to that paper's row(s) in Tables 1-2, i.e. after collapsing/category-override, not the raw per-reach extraction. Six papers report reaches that split across two different source-water categories (e.g. one reach glacial/snow-melt-fed, another groundwater-fed further downstream) -- both categories are listed and both rows remain in the Kruskal-Wallis tests, which is part of the reach-level heterogeneity this analysis is designed to keep visible rather than average away. Reaches/time-periods extracted = number of site/reach/time-period rows for that paper in the raw extraction with valid Internal and External pathway values. Rows in Tables 1-2 = number of rows that paper contributes to the Internal/External Spearman and Kruskal-Wallis tests after collapsing. Two papers reporting repeated seasonal sampling of the SAME river reach were collapsed to one paper-level average row each to avoid pseudoreplicating those tests; all other multi-row papers report genuinely distinct named rivers/reaches and are retained as separate rows by design (see comment above collapse_dois in the analysis script). Consequently, Tables 1-2's n is not n independent papers -- several papers each contribute multiple, non-independent rows, and results should be interpreted with that in mind. Internal/External estimation method = condensed from meta_analysis_pipeline.R (the upstream extraction script): most papers use its default O2-metabolism formula (Internal solved first from GPP/ER, RQ=1.0, External = CO2_flux - Internal as a residual); papers noted 'External solved first' instead derive External from an independently measured/modeled terrestrial or groundwater CO2 term and back-calculate Internal as the residual; papers noted 'both independently' measure/model Internal and External separately, so their sum need not equal CO2_flux; 'NOT REPORTED' papers lack the data to compute a split without fabricating a number. See that script's per-paper comments for full derivations and exact source citations (table/page numbers).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1440"/>
        <w:gridCol w:w="1584"/>
        <w:gridCol w:w="1440"/>
        <w:gridCol w:w="2592"/>
        <w:gridCol w:w="2592"/>
        <w:gridCol w:w="1872"/>
      </w:tblGrid>
      <w:tr>
        <w:trPr>
          <w:trHeight w:val="432" w:hRule="auto"/>
          <w:tblHeader/>
        </w:trPr>
        <w:tc>
          <w:tcPr>
            <w:gridSpan w:val="7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Table 6. Category-level rollup of the Dunn's pairwise post-hoc comparisons from Table 3: for each category, its median, which other categories it is significantly or suggestively higher/lower than, and the resulting verdict. Rows are ordered by verdict, from most enhancing to No signal to most inhibiting (median, highest first, breaks ties within a verdict tier), within each pathway x factor block.</w:t>
            </w:r>
          </w:p>
        </w:tc>
      </w:tr>
      <w:tr>
        <w:trPr>
          <w:trHeight w:val="43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Grouping factor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Category (n)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than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Lower than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Verdict</w:t>
            </w:r>
          </w:p>
        </w:tc>
      </w:tr>
      <w:tr>
        <w:trPr>
          <w:trHeight w:val="432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Internal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(n=10)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2.34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(-0.13–4.04)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 (Z=2.08, p=0.038)~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enhancing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Cryospheric Zone (n=12)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1.59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(0.59–2.42)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Drylands (n=4)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1.42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(0.82–3.77)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(n=13)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0.72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(0.25–4.67)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 (n=8)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0.69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(0.32–2.07)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(Z=2.08, p=0.038)~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Wetland seepage (n=9)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2.40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(0.59–4.40)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 (Z=2.74, ph=0.036)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Enhancing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(n=10)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1.42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(-0.13–3.77)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(n=15)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1.38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(0.34–4.67)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 (n=13)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0.72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(0.25–1.86)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Wetland seepage (Z=2.74, ph=0.036)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Inhibiting</w:t>
            </w:r>
          </w:p>
        </w:tc>
      </w:tr>
      <w:tr>
        <w:trPr>
          <w:trHeight w:val="432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External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 (n=8)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7.39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(-0.24–13.86)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(Z=2.36, p=0.018)~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enhancing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(n=10)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2.57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(0.00–31.18)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(Z=2.15, p=0.032)~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enhancing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Drylands (n=4)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2.63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(1.47–3.92)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Cryospheric Zone (n=12)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1.31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(-1.11–8.85)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(n=13)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0.14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(-0.64–8.54)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(Z=2.15, p=0.032)~; Tropical (Z=2.36, p=0.018)~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Wetland seepage (n=9)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4.07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(0.86–8.54)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(Z=3.21, ph=0.004)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Enhancing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(n=10)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3.47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(0.55–31.18)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(Z=3.55, ph=0.002)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Enhancing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 (n=13)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1.70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(-0.16–13.86)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(n=15)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0.11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(-1.11–8.08)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(Z=3.55, ph=0.002); Wetland seepage (Z=3.21, ph=0.004)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Inhibiting</w:t>
            </w:r>
          </w:p>
        </w:tc>
      </w:tr>
      <w:tr>
        <w:trPr>
          <w:trHeight w:val="432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Internal Contribution %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(n=13)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79.03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(17.22–100.00)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 (Z=2.49, p=0.013)~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enhancing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Cryospheric Zone (n=12)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64.22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(17.34–100.00)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(n=10)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44.17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(0.00–100.00)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Drylands (n=4)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36.76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(26.56–55.56)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 (n=8)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20.79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(3.44–100.00)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(Z=2.49, p=0.013)~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(n=15)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80.86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(11.07–100.00)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(Z=3.10, ph=0.012); Wetland seepage (Z=2.44, ph=0.044)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Enhancing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 (n=13)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26.56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(5.36–100.00)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(n=10)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36.76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(0.00–69.23)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(Z=3.10, ph=0.012)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Inhibiting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Wetland seepage (n=9)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34.00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(17.34–82.44)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(Z=2.44, ph=0.044)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Inhibiting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Median in g C m-2 day-1 for Internal/External, percent for Internal Contribution %; the smaller italicized figure in parentheses is that category's observed min-max range. Entries with no ~ are BH-significant (p_BH &lt; 0.05, corrected within each pathway x factor block, as in Table 3); entries marked ~ are nominally significant only (uncorrected p &lt; 0.05) and do not survive correction -- treat these as suggestive, not confirmed. Verdict is based on the confirmed (non-~) comparisons only; where a category has no confirmed comparisons but does have suggestive ones, the verdict is labeled accordingly. Categories with very small n (e.g. Arid n=1, 1 paper; Mediterranean n=2, 1 paper) rest on a single paper regardless of verdict and should be treated as anecdotal. Biome's 'Cryospheric Zone' category pools the Alpine, Boreal, and Arctic biomes (Rocher-Ros, Horgby, Taillardat, and Lupon et al. -- 4 papers), each individually a 1-2-paper group before pooling; its comparisons are no longer a single-paper effect the way each sub-biome's were. Shaded cells: green = Verdict is BH-confirmed (Enhancing/Inhibiting/Mixed, confirmed). Suggestive-only and No signal rows are left unshaded -- absence of shading does not mean absence of a row, see the Higher/Lower than columns for the underlying suggestive comparisons.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28"/>
        <w:gridCol w:w="2880"/>
        <w:gridCol w:w="1152"/>
        <w:gridCol w:w="1296"/>
      </w:tblGrid>
      <w:tr>
        <w:trPr>
          <w:trHeight w:val="360" w:hRule="auto"/>
          <w:tblHeader/>
        </w:trPr>
        <w:tc>
          <w:tcPr>
            <w:gridSpan w:val="4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Table 7. Number of site rows (n) and number of distinct papers/sources (Citations) contributing to each Biome and Source water category used in Tables 1-2/6, after same-river-reach collapsing (the same df_final rows tested in Tables 1-2). Rows within each grouping factor are ordered by n, highest to lowest.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Grouping factor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Citations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Wetland seepage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n = number of rows (sites/reaches/time-periods, after same-river-reach collapsing, as in Tables 1-2) assigned to that category. Citations = number of distinct papers/DOIs contributing at least one row to that category -- a category with n &gt; Citations has multiple rows from the same paper (e.g. separate reaches or seasons), so its apparent sample size is not n independent studies. Shaded cells: Citations = 1, i.e. the category rests on a single paper regardless of n and should be treated as anecdotal (same caveat as noted for specific categories in the Table 6 footnote).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2160"/>
        <w:gridCol w:w="1872"/>
        <w:gridCol w:w="1008"/>
        <w:gridCol w:w="1008"/>
        <w:gridCol w:w="1296"/>
        <w:gridCol w:w="1152"/>
        <w:gridCol w:w="1296"/>
        <w:gridCol w:w="1152"/>
        <w:gridCol w:w="4608"/>
      </w:tblGrid>
      <w:tr>
        <w:trPr>
          <w:trHeight w:val="432" w:hRule="auto"/>
          <w:tblHeader/>
        </w:trPr>
        <w:tc>
          <w:tcPr>
            <w:gridSpan w:val="10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Table 8. Every site with a negative Internal or negative External CO2 pathway estimate (n = 11 estimates across 5 papers), with the estimate itself, how many other sites remain for that citation if the row is dropped, whether the row survives into the Tables 1-2 tests, and why the estimate is negative.</w:t>
            </w:r>
          </w:p>
        </w:tc>
      </w:tr>
      <w:tr>
        <w:trPr>
          <w:trHeight w:val="43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Citation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Site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CO2 flux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Internal % of CO2 flux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Sites (citation)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Remaining if removed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 Tables 1-2?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Why negative</w:t>
            </w:r>
          </w:p>
        </w:tc>
      </w:tr>
      <w:tr>
        <w:trPr>
          <w:trHeight w:val="432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Internal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(Aho et al., 2021)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Connecticut River (Thompsonville gauge)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-1.176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-177.9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Net autotrophic (GPP 20.9 &gt; |ER| 17.8 gO2/m2/d); wide, reservoir-influenced mainstem, light not limiting.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(Kirk &amp; Cohen,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Net autotrophic (GPP 7.8 ~ |ER| 7.4 gO2/m2/d); spring-fed clear-water karst river, dense submerged vegetation.</w:t>
            </w:r>
          </w:p>
        </w:tc>
      </w:tr>
      <w:tr>
        <w:trPr>
          <w:trHeight w:val="432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External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(Aho et al., 2021)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Nepaug River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-0.635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Internal = 165% of CO2_flux; RQ=1.0 assumption may overestimate Internal, and/or downstream export of dissolved CO2.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(Aho et al., 2021)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Phelps Brook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4.633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Internal = 101% of CO2_flux; at the boundary, likely assumption/measurement noise rather than a real surplus.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(Carter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Internal = 106% of CO2_flux; at the boundary, likely assumption/measurement noise.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(Carter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Internal = 129% of CO2_flux; groundwater-exchanging Piedmont stream, plausible downstream export.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(Carter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UNHC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Internal = 122% of CO2_flux; same system as PM, plausible downstream export.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(Rocher-Ros et al.,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Internal = 185% of CO2_flux; Arctic tundra headwater, low gas-transfer velocity plausibly favors downstream export over local evasion.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(Rocher-Ros et al.,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Internal = 176% of CO2_flux; same Arctic system as M1.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(Rocher-Ros et al.,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Internal = 125% of CO2_flux; same Arctic system as M1.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(Solano et al., 2023)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Manton Creek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-0.240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1.050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122.9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Internal = 123% of CO2_flux; paper's OWN reported finding (Discussion) -- NEP exceeds local evasion, surplus attributed to downstream export as dissolved CO2/DIC. Not an artifact of this pipeline's assumptions.</w:t>
            </w:r>
          </w:p>
        </w:tc>
      </w:tr>
      <w:tr>
        <w:trPr>
          <w:trHeight w:val="360" w:hRule="auto"/>
        </w:trPr>
        <w:tc>
          <w:tcPr>
            <w:gridSpan w:val="10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Flux in g C m-2 day-1. Internal % of CO2 flux = 100 x Internal / CO2_flux (uncapped, unlike Internal.Contrib used elsewhere, which is capped to [0,100] against Internal+External); shown here for context on how far the estimate departs from a closed mass balance. Negative Internal = net autotrophic (GPP exceeds respiratory demand); negative External = Internal alone exceeds measured CO2_flux, so the External_Pathway = CO2_flux - Internal residual goes below zero -- this is the arithmetic signature of unmeasured downstream export of dissolved CO2/DIC (or, for the smallest cases, RQ-assumption/measurement noise), not a modeled sink. 'Sites (citation)' / 'Remaining if removed' count only that citation's rows with valid Internal AND External values (i.e. rows eligible for Tables 1-2 before any filtering). 'In Tables 1-2?' = No only for the one row (Aho et al. 2021, Connecticut River) excluded by the Source_Water_Brief != 'Regulated flow' filter upstream of df_final; every other row here is retained (the three Rocher-Ros sites are recoded from 'Glacial/snow melt' to 'Surface runoff' there, per that same recoding step, but are not otherwise excluded or collapsed).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2026-08-27T15:31:24Z</dcterms:modified>
  <cp:category/>
</cp:coreProperties>
</file>