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576"/>
        <w:gridCol w:w="792"/>
        <w:gridCol w:w="792"/>
        <w:gridCol w:w="792"/>
        <w:gridCol w:w="792"/>
        <w:gridCol w:w="792"/>
        <w:gridCol w:w="792"/>
        <w:gridCol w:w="1080"/>
        <w:gridCol w:w="936"/>
        <w:gridCol w:w="1296"/>
        <w:gridCol w:w="1080"/>
      </w:tblGrid>
      <w:tr>
        <w:trPr>
          <w:trHeight w:val="360" w:hRule="auto"/>
          <w:tblHeader/>
        </w:trPr>
        <w:tc>
          <w:tcPr>
            <w:vMerge w:val="restart"/>
            <w:tcBorders>
              <w:bottom w:val="single" w:sz="6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Response (flux pathways log10)</w:t>
            </w:r>
          </w:p>
        </w:tc>
        <w:tc>
          <w:tcPr>
            <w:vMerge w:val="restart"/>
            <w:tcBorders>
              <w:bottom w:val="single" w:sz="6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 Slope (β)</w:t>
            </w:r>
          </w:p>
        </w:tc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Discharge Slope (c)</w:t>
            </w:r>
          </w:p>
        </w:tc>
        <w:tc>
          <w:tcPr>
            <w:vMerge w:val="restart"/>
            <w:tcBorders>
              <w:bottom w:val="single" w:sz="6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Interaction (b)</w:t>
            </w:r>
          </w:p>
        </w:tc>
        <w:tc>
          <w:tcPr>
            <w:vMerge w:val="restart"/>
            <w:tcBorders>
              <w:bottom w:val="single" w:sz="6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ΔAIC</w:t>
            </w:r>
          </w:p>
        </w:tc>
        <w:tc>
          <w:tcPr>
            <w:vMerge w:val="restart"/>
            <w:tcBorders>
              <w:bottom w:val="single" w:sz="6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Pseudo-R² (cor²)</w:t>
            </w:r>
          </w:p>
        </w:tc>
        <w:tc>
          <w:tcPr>
            <w:vMerge w:val="restart"/>
            <w:tcBorders>
              <w:bottom w:val="single" w:sz="6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(b)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(SD)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(b)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(SD)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 CO2 Flux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25.49*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Tied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1.29*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CO2 Flux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0.72*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 CO2 Flux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19.67*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-39.26*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-19.56*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-0.29*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Flux = CO2 flux (g C m⁻² day⁻¹); Q = discharge (L s⁻¹); Internal/External refer to the CO2 flux pathway (CO2 flux total = Internal + External); Internal Contribution (%) = internal's share of total CO2 flux. All models fit via generalized least squares with a continuous-time AR(1) residual correlation structure (nlme::corCAR1) to account for temporal autocorrelation in the daily flux series (see lmm_outline_synthesis.R for the residual diagnostics motivating this). Temperature Slope (β) and Discharge Slope (c) are the raw partial coefficients from the joint (No Interaction) model log10(flux) ~ TempC + log10(Q), each controlling for the other predictor; c is not a beta, it is the exponent of the log-log discharge (C-Q) rating-curve relationship. (SD) columns are the same coefficients standardized (raw slope x SD[predictor] / SD[response]) so Temperature and Discharge are directly comparable in magnitude; p columns give that term's exact p-value (&lt;0.001 shown for anything smaller). * on Temperature/Discharge/Interaction indicates p &lt; 0.05 for that term's own coefficient. Interaction (b) = the TempC:log10Q coefficient from the interaction model. Lower AIC indicates better fit. ΔAIC = AIC(No Interaction) - AIC(Interaction); positive values favor the interaction model; * marks |delta_AIC| &gt;= 2, the standard rule-of-thumb threshold (Burnham &amp; Anderson 2002) for a meaningful difference. Pseudo-R² (cor²) = squared Pearson correlation between fitted and observed values — NOT an RSS-based OLS R² (GLS's correlated residuals break that decomposition), just how well predictions track the data. It is taken from the interaction model when delta_AIC meaningfully favors it (starred, positive), and from the simpler additive (No Interaction) model otherwise. Favors = predictor with the larger ABSOLUTE standardized slope, after any slope with p &gt;= 0.05 is set to zero (an effect indistinguishable from no effect cannot win); "Tied" means the two absolute standardized slopes differ by no more than 0.05 (5 percentage points), and "Neither" means both slopes were non-significant. Shaded, bold (b)/(SD)/p cells mark a term significant at p &lt; 0.05. Total, Internal, and External CO2 Flux are log10-transformed (row labels shown without the log10() notation); Internal Contribution (%) is not.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2026-08-31T14:15:07Z</dcterms:modified>
  <cp:category/>
</cp:coreProperties>
</file>