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1224"/>
        <w:gridCol w:w="1224"/>
        <w:gridCol w:w="1224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A. Does wetland cover influence CO2 pathway predominance or flux magnitude? Permutation Spearman: site-level means against basin wetland cover (%). n = 9 sites, 999,999 resamples, BH-corrected across the 4 responses.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Pathway predominance (log10 internal/external)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CO2 flux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flux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 flux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Positive rho on pathway predominance = wetland cover associated with internal dominance; negative = external dominance. Flux in g C m-2 day-1. p = uncorrected permutation p-value; ph = Benjamini-Hochberg adjusted p-value. Shaded cells: p &lt; 0.05 before BH correction (near-significant).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224"/>
        <w:gridCol w:w="1224"/>
        <w:gridCol w:w="1224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B. Do discharge and pH predict CO2 pathway predominance across streams (this study + literature)? Permutation Spearman: site/study-level log10(internal / external) ratio against discharge and pH. n = 28 site/study means, 999,999 resamples, BH-corrected.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Discharge (m3 s-1)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0.869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0.869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Positive rho = higher discharge/pH associated with internal dominance; negative = external dominance. Literature values from 01_Raw_data/meta_analysis_extraction.csv combined with this study's site-level means (Citation = 'This Paper'). p = uncorrected permutation p-value; ph = Benjamini-Hochberg adjusted p-value. Shaded cells: p &lt; 0.05 before BH correction (near-significant).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2026-07-24T10:16:09Z</dcterms:modified>
  <cp:category/>
</cp:coreProperties>
</file>