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76"/>
        <w:gridCol w:w="1152"/>
        <w:gridCol w:w="1152"/>
        <w:gridCol w:w="1152"/>
        <w:gridCol w:w="864"/>
        <w:gridCol w:w="864"/>
        <w:gridCol w:w="864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rHeight w:val="360" w:hRule="auto"/>
          <w:tblHeader/>
        </w:trPr>
        <w:tc>
          <w:tcPr>
            <w:gridSpan w:val="16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S2. Site-level comparison of internal, external, and total CO2 flux sensitivity to temperature and discharge (GLS with AR(1) residuals): raw slopes by pathway, and standardized slopes grouped by pathway (with Temperature/Q as sub-columns) for direct magnitude comparison.</w:t>
            </w:r>
          </w:p>
        </w:tc>
      </w:tr>
      <w:tr>
        <w:trPr>
          <w:trHeight w:val="360" w:hRule="auto"/>
          <w:tblHeader/>
        </w:trPr>
        <w:tc>
          <w:tcPr>
            <w:vMerge w:val="restart"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Site</w:t>
            </w:r>
          </w:p>
        </w:tc>
        <w:tc>
          <w:tcPr>
            <w:gridSpan w:val="3"/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Temperature Slope (β; log10[g C m⁻² day⁻¹]·°C⁻¹)</w:t>
            </w:r>
          </w:p>
        </w:tc>
        <w:tc>
          <w:tcPr>
            <w:gridSpan w:val="3"/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Discharge Slope (c; log10[g C m⁻² day⁻¹]·log10[L s⁻¹]⁻¹)</w:t>
            </w:r>
          </w:p>
        </w:tc>
        <w:tc>
          <w:tcPr>
            <w:gridSpan w:val="9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Standardized Comparison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gridSpan w:val="3"/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gridSpan w:val="3"/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Internal</w:t>
            </w:r>
          </w:p>
        </w:tc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External</w:t>
            </w:r>
          </w:p>
        </w:tc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Internal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External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Internal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External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Favors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Favors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Favors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4.02e-02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-9.09e-04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1.44e-02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8.70e-03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-3.52e-02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-2.48e-02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7.26e-03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1.94e-02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4.92e-03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2.03e-02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1.91e-02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1.70e-02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-6.75e-03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-3.65e-02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-3.10e-02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-2.78e-03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-1.63e-02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-1.28e-02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6.03e-03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-3.95e-02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-2.94e-02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5.87e-03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-2.95e-02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-2.71e-02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</w:tr>
      <w:tr>
        <w:trPr>
          <w:trHeight w:val="360" w:hRule="auto"/>
        </w:trPr>
        <w:tc>
          <w:tcPr>
            <w:gridSpan w:val="16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Note. Flux = CO2 flux (g C m⁻² day⁻¹); Q = discharge (L s⁻¹); Total = total CO2 flux (internal + external). All models fit via generalized least squares with a continuous-time AR(1) residual correlation structure (nlme::corCAR1) to account for temporal autocorrelation in the daily flux series (see lmm_outline_synthesis.R for the residual diagnostics motivating this). Temperature Slope (β) = coefficient from log10(flux) ~ TempC (Drop Q model), fit independently per site and pathway; units = log10(flux) per °C. Discharge Slope (c) = coefficient from log10(flux) ~ log10(Q) (Drop T model) — this is NOT a beta, it is the exponent of the log-log discharge (C-Q) rating-curve relationship; units = log10(flux) per log10(Q). Standardized Comparison = raw slope x SD(predictor) / SD(response), rescaling temperature and discharge coefficients onto the same "SD of response per SD of predictor" scale, grouped by pathway with Temperature and Q shown side by side within each so their magnitudes are directly comparable. Favors = predictor (Temp or Q) with the larger absolute standardized slope for that pathway, based on absolute standardized slope values.</w:t>
            </w:r>
          </w:p>
        </w:tc>
      </w:tr>
    </w:tbl>
    <w:sectPr>
      <w:pgMar w:header="708" w:bottom="720" w:top="720" w:right="720" w:left="720" w:footer="708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2026-08-11T15:38:06Z</dcterms:modified>
  <cp:category/>
</cp:coreProperties>
</file>