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3168"/>
        <w:gridCol w:w="1440"/>
        <w:gridCol w:w="1440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1a. Landscape composition of the biome categories (literature meta-analysis + this study).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Citation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Raw obs.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log10(μ int:ext)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Boreal (n = 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(Lupon et al., 2019)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(Rocher-Ros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Subtropical (n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This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Temperate (n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(Bernal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(Carter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Tropical (n =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(Duvert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(Marzolf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(Moustapha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(Rexroade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(Townsend et al., 2011)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log10(μ int:ext) = landscape-mean log10(internal / external CO2 flux); positive = internal-dominant, negative = external-dominant. Raw obs. = number of individual reported measurements averaged into that landscape.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3168"/>
        <w:gridCol w:w="1440"/>
        <w:gridCol w:w="1440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1b. Landscape composition of the source-water categories (literature meta-analysis + this study).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Citation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Raw obs.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log10(μ int:ext)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Deep groundwater (n = 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(Lupon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(Townsend et al., 2011)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Mixed (n =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(Carter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(Duvert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(Moustapha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(Rocher-Ros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This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Shallow groundwater (n =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(Bernal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(Marzolf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(Rexroade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This study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log10(μ int:ext) = landscape-mean log10(internal / external CO2 flux); positive = internal-dominant, negative = external-dominant. Raw obs. = number of individual reported measurements averaged into that landscape.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224"/>
        <w:gridCol w:w="1224"/>
        <w:gridCol w:w="1224"/>
        <w:gridCol w:w="1224"/>
        <w:gridCol w:w="1224"/>
        <w:gridCol w:w="1008"/>
      </w:tblGrid>
      <w:tr>
        <w:trPr>
          <w:trHeight w:val="360" w:hRule="auto"/>
          <w:tblHeader/>
        </w:trPr>
        <w:tc>
          <w:tcPr>
            <w:gridSpan w:val="7"/>
            <w:tcBorders>
              <w:bottom w:val="single" w:sz="4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2a. Do biome and source water predict CO2 pathway predominance (landscape-level log10(internal/external))?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ANOVA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Kruskal-Wallis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Factor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 (df)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(df)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ω²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 (3, 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8.95 (3)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(2, 10)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(2)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ω² = omega-squared effect size. Rank-based checks (Kruskal-Wallis; pairwise Wilcoxon, not shown) support the same conclusions but have limited power at this sample size.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2b. Tukey's HSD pairwise comparisons for Biome (Source water omitted -- ANOVA not significant).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(adj)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Tropical-Boreal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[-2.63, -0.49]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Tropical-Temperate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[-2.22, -0.08]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Subtropical-Boreal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[-2.18,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Tropical-Subtropical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[-1.73,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Temperate-Subtropical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[-0.79, 1.77]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Temperate-Boreal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[-1.69, 0.87]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Difference = mean log10(internal/external) difference between the two groups. 95% family-wise confidence level.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2026-07-24T09:30:05Z</dcterms:modified>
  <cp:category/>
</cp:coreProperties>
</file>