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17 papers (same-river reaches averaged); 45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12.735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45); higher values indicate internal-pathway dominance, lower values indicate external-pathway dominance. Source water = Source_Water_Brief (4 levels); Biome = Biome_Category (6 levels; Alpine/Boreal/Arctic pooled into one 'Cryospheric Zone' category, each individually a 1-2-paper group). Small groups (e.g.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1584"/>
        <w:gridCol w:w="1296"/>
        <w:gridCol w:w="1728"/>
        <w:gridCol w:w="1008"/>
        <w:gridCol w:w="1008"/>
        <w:gridCol w:w="1872"/>
        <w:gridCol w:w="4032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5. Papers contributing to the Internal/External site-level tests (Tables 1-2), their biome/source-water categorization, replication structure, and how each paper's Internal/External pathway values were originally derived. n = 17 papers; 45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Collapsed to paper average?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Internal/External estimation method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RIP+TER+AQU, the paper's own published riparian/terrestrial/aquifer mass-balance partition (not a residual). Internal from GPP/AR via the O2 formula -- both independently derived; CO2_flux mass-balance residual reported as a check, not forced to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metabolism data. Both terms derived directly and simultaneously from the paper's own reach-level source split applied to CO2_flux: External = 81% (porewater), Internal = 17% (in-stream metabolism); remaining 2% (CH4 oxidation) excluded from both.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metabolism, raw streamMetabolizer GPP/ER (RQ=1.0), QA-filtered to physically valid days; CO2_flux computed via Fick's law (K600 + Schmidt number). Internal solved first; External = residual.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RQ=1.0), reach-level (not split by site); External = residual. Same Internal/External/CO2_flux value applied to both the upstream and downstream site rows.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REPORTED. No metabolism (GPP/ER/NEP) data -- a delta13C-DIC geochemical study splitting carbon into biogenic vs. geogenic sources, both 'external' under this framework; computing a split would fabricate a number the paper doesn't report.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paper's own 222Rn-traced groundwater CO2 flux (radon mass balance, not the GPP/ER formula); Internal = CO2_flux - External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directly measured heterotrophic respiration (serum-bottle incubation), available at only 2 of 6 stations; External = CO2_flux - Internal (residual) where Internal available, else both NOT REPORTED.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(Horgby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10.1029/2019JG005047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= 100% of CO2_flux: paper's isotope mixing model partitions the entire CO2 source between soil respiration and carbonate weathering, both external. Internal NOT REPORTED -- paper only qualitatively concludes in-stream respiration 'contributed only marginally'.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sign convention, cross-checked against reported GPP/ER); External = paper's own stated 'External CO2 = FCO2 + NEP' (algebraically identical to the CO2_flux - Internal 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midpoint of the paper's own stated 34-66% groundwater CO2-contribution range x CO2_flux; Internal = CO2_flux - External (residual). Paper reports percentage ranges only, no absolute fluxes.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 (PQ/RQ Monte Carlo): Internal = paper's own median NEP; External = CO2_flux - Internal (residual) -- negative here, a real reported finding (excess internal CO2 exported downstream as dissolved CO2/DIC rather than evading locally), not floored at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paper's own median NEP; External = paper's own median GWCO2 (groundwater CO2 flux) -- both independently measured, neither back-calculated from the other.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whole-study value);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(O2 mass balance) and External (222Rn/water mass balance x groundwater CO2 concentration) both independently modeled by the paper's authors, neither a residual of the other; CO2_flux is a third independent term (Fick's law). Internal+External exceeds CO2_flux here -- paper attributes the gap to carbonate buffering and downstream dissolved-CO2 export.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 Internal/External estimation method = condensed from meta_analysis_pipeline.R (the upstream extraction script): most papers use its default O2-metabolism formula (Internal solved first from GPP/ER, RQ=1.0, External = CO2_flux - Internal as a residual); papers noted 'External solved first' instead derive External from an independently measured/modeled terrestrial or groundwater CO2 term and back-calculate Internal as the residual; papers noted 'both independently' measure/model Internal and External separately, so their sum need not equal CO2_flux; 'NOT REPORTED' papers lack the data to compute a split without fabricating a number. See that script's per-paper comments for full derivations and exact source citations (table/page numbers).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(Z=2.09, p=0.037)~; Temperate (Z=2.19, p=0.029)~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(1.10–3.77)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(1.74–1.74)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(Z=2.19, p=0.029)~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(Z=2.09, p=0.037)~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(Z=2.12, p=0.034)~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(Z=2.12, p=0.034)~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(Z=2.76, p=0.006)~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(Z=2.65, p=0.008)~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(3.92–3.92)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(-1.11–31.23)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(Z=2.65, p=0.008)~; Tropical (Z=2.76, p=0.006)~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(Z=3.81, ph=0.001); Mixed (Z=1.97, p=0.049)~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(Z=2.67, ph=0.023)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(Z=1.97, p=0.049)~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(Z=3.81, ph=0.001); Wetland seepage (Z=2.67, ph=0.023)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(17.22–100.00)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(Z=2.58, p=0.010)~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50.00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(4.39–100.00)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(42.78–55.56)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(30.74–30.74)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(Z=2.58, p=0.010)~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(Z=3.41, ph=0.004); Wetland seepage (Z=2.22, p=0.026)~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24.27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(Z=2.22, p=0.026)~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(Z=3.41, ph=0.004)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'Cryospheric Zone' category pools the Alpine, Boreal, and Arctic biomes (Rocher-Ros, Horgby, Taillardat, and Lupon et al. -- 4 papers), each individually a 1-2-paper group before pooling; its comparisons are no longer a single-paper effect the way each sub-biome's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7. Number of site rows (n) and number of distinct papers/sources (Citations) contributing to each Biome and Source water category used in Tables 1-2/6, after same-river-reach collapsing (the same df_final rows tested in Tables 1-2). Rows within each grouping factor are ordered by n, highest to lowest.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has multiple rows from the same paper (e.g. separate reaches or seasons), so its apparent sample size is not n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2026-08-10T10:18:01Z</dcterms:modified>
  <cp:category/>
</cp:coreProperties>
</file>