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720"/>
        <w:gridCol w:w="3168"/>
        <w:gridCol w:w="1872"/>
        <w:gridCol w:w="1872"/>
        <w:gridCol w:w="864"/>
        <w:gridCol w:w="864"/>
        <w:gridCol w:w="864"/>
        <w:gridCol w:w="864"/>
        <w:gridCol w:w="1296"/>
        <w:gridCol w:w="864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Step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Predictors in 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Dropped this step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Status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QM (df)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Pseudo R2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% of Total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369.068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370.450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386.488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6.90 (4)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367.186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381.093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6.83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4.80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369.286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pathway flux (C g/m²/day)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7.22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6.18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 + 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5.08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42.54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External pathway flux (C g/m²/day)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6.54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243.436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6.41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235.886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3.52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2.48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220.541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220.823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228.007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33.01 (1)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0.0367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four candidate predictors are eliminated in sequence, one at a time (weakest individual coefficient p-value dropped first), down to the intercept-only model. The reported model is whichever step reaches a significant omnibus test (QM p&lt;0.05); if more than one does, the one explaining the most variance (pseudo R²) is reported. The intercept-only step is excluded from this check -- its QM test asks whether the intercept differs from zero, not whether the predictors matter, so it does not compete for selection.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Pseudo R² = 1 − (Σσ²_model / Σσ²_null): summed random-effects variance components (σ², one per level of the random-effects structure) in this model vs. in an intercept-only null model with the SAME random-effects structure and data. This is the Nakagawa/Cheung-style meta-analytic pseudo R² -- it measures how much of the total between-study/between-row heterogeneity the fixed effects explain, NOT an OLS R² (there is no residual/error variance being partitioned).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2026-09-14T16:28:03Z</dcterms:modified>
  <cp:category/>
</cp:coreProperties>
</file>