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8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Internal % of Total CO2 flux (untransformed)</w:t>
            </w:r>
          </w:p>
        </w:tc>
        <w:tc>
          <w:tcPr>
            <w:gridSpan w:val="3"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Internal pathway flux (C g/m²/day, untransformed)</w:t>
            </w:r>
          </w:p>
        </w:tc>
        <w:tc>
          <w:tcPr>
            <w:gridSpan w:val="3"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External pathway flux (C g/m²/day, untransformed)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Rank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Slope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Rank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Slope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Rank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Slope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-11.938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annual precipitation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Discharge (z)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-5.729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1.109*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8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Var: Citation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Var: Citation/Row_ID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log-Lik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AIC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AICc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QM (df)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QM 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Pseudo R2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% of Total CO2 flux (untransformed)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362.0606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621.4280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-399.875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813.749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815.223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830.765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6.14 (4)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pathway flux (C g/m²/day, untransformed)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-169.020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352.040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353.514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369.056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3.51 (4)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-0.0018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External pathway flux (C g/m²/day, untransformed)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4.2237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5.1119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-204.730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423.460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424.934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440.476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11.09 (4)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0.0326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Pseudo R² = 1 − (Σσ²_model / Σσ²_null): summed random-effects variance components (σ², one per level of the random-effects structure) in this model vs. in an intercept-only null model with the SAME random-effects structure and data. This is the Nakagawa/Cheung-style meta-analytic pseudo R² -- it measures how much of the total between-study/between-row heterogeneity the fixed effects explain, NOT an OLS R² (there is no residual/error variance being partitioned).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2026-09-14T14:07:25Z</dcterms:modified>
  <cp:category/>
</cp:coreProperties>
</file>