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2"/>
        <w:gridCol w:w="1296"/>
        <w:gridCol w:w="648"/>
        <w:gridCol w:w="576"/>
        <w:gridCol w:w="864"/>
        <w:gridCol w:w="792"/>
        <w:gridCol w:w="576"/>
        <w:gridCol w:w="864"/>
        <w:gridCol w:w="792"/>
        <w:gridCol w:w="576"/>
        <w:gridCol w:w="720"/>
      </w:tblGrid>
      <w:tr>
        <w:trPr>
          <w:trHeight w:val="360" w:hRule="auto"/>
          <w:tblHeader/>
        </w:trPr>
        <w:tc>
          <w:tcPr>
            <w:gridSpan w:val="11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Sx. Site-level temporal model comparison: OLS vs. GLS with AR(1) residuals.</w:t>
            </w:r>
          </w:p>
        </w:tc>
      </w:tr>
      <w:tr>
        <w:trPr>
          <w:trHeight w:val="360" w:hRule="auto"/>
          <w:tblHeader/>
        </w:trPr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Response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OLS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GLS-AR(1)</w:t>
            </w:r>
          </w:p>
        </w:tc>
        <w:tc>
          <w:tcPr>
            <w:vMerge w:val="restart"/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Slope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Sig.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Slope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Sig.</w:t>
            </w:r>
          </w:p>
        </w:tc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CO2 Flux</w:t>
            </w:r>
          </w:p>
        </w:tc>
        <w:tc>
          <w:tcPr>
            <w:vMerge w:val="restart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0.9879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0.7198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0.1118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0.4470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0.2528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0.4928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0.3737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0.0024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 CO2 Flux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0.2144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0.2275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0.2236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0.6319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0.1031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0.0632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 CO2 Flux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0.2302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0.1646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0.2591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0.0995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0.5475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0.2762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0.0725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-37.0470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DBD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20.6898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0.2246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-4.6348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-34.1997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-38.7515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44.6965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15.6207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-23.8743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-4.5139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-20.6128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0.1620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0.2844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1.9078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0.0134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1.7355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0.2019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0.0799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Note. OLS = ordinary least squares (matches site_lm_table_fun()/Q.lm/T.lm/build_pathway_trend_table() in temporal_lm.R). GLS-AR(1) = generalized least squares with a continuous-time AR(1) residual correlation structure (nlme::corCAR1; matches fit_family() in gls_temporal_analysis.R), which accounts for temporal autocorrelation in the daily series that OLS ignores. Response = log10(flux) for Internal/External/Total CO2 Flux (identical for both models). For Internal Contribution %, OLS uses the pre-built int.contrib column (100 x internal/CO2_flux, clamped at BOTH 0 and 100; see "chimney  pathway.R"), matching temporal_lm.R exactly; GLS-AR(1) recomputes the same ratio but clamps ONLY the upper bound (negative-uptake days left negative), matching gls_temporal_analysis.R's own build_response() exactly -- these differ on ~5% of days, so slope/R2/p for this response are not from identical data between the two model columns. Predictor is identical for both models: log10(Q) for Discharge, raw (untransformed) TempC for Temperature. R2 is shown once because it is identical between models for Internal/External/Total CO2 Flux (both reduce to the squared correlation between the predictor and response); for Internal Contribution % it can differ slightly between models (up to ~0.04) since the response definitions differ as noted above -- the value shown is from the OLS fit. Sig. = 'Y' if p &lt; 0.05. Sites with fewer than 15 complete observations for a given response x predictor pair are omitted. Shaded cells flag disagreement between OLS and GLS-AR(1): red = the two slopes point in opposite directions; yellow = the two models' significance calls differ (one says p &lt; 0.05, the other doesn't).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2026-08-25T16:11:43Z</dcterms:modified>
  <cp:category/>
</cp:coreProperties>
</file>