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648"/>
        <w:gridCol w:w="1368"/>
        <w:gridCol w:w="1368"/>
        <w:gridCol w:w="1152"/>
        <w:gridCol w:w="1368"/>
        <w:gridCol w:w="1368"/>
        <w:gridCol w:w="1368"/>
        <w:gridCol w:w="936"/>
        <w:gridCol w:w="1728"/>
      </w:tblGrid>
      <w:tr>
        <w:trPr>
          <w:trHeight w:val="360" w:hRule="auto"/>
          <w:tblHeader/>
        </w:trPr>
        <w:tc>
          <w:tcPr>
            <w:gridSpan w:val="10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S4. Main effects of temperature and discharge alongside their interaction (GLS with AR(1) residuals), and the AIC comparison of additive (No Interaction) vs. interaction models, per site.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Site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Temperature (b)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Discharge (c)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Sign Match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Interaction (b)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AIC: No Interaction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AIC: Interaction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ΔAIC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ΔAIC ≥ 2?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log10(Total CO2 Flux)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-195.26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-220.75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-276.81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-275.28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(-)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log10(Internal CO2 Flux)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-225.26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-224.80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(-)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-243.86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-241.97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-50.02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-58.62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158.23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159.75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(No Interaction)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log10(External CO2 Flux)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(No 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(-)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20.69*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1,576.84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1,572.64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2,468.69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2,470.42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-30.48*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(-)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31.13*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1,505.81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1,507.15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1,089.51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1,085.40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Yes (Interaction)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2,387.48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2,388.42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Same (+)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315.35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-20.61*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Different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602.00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603.45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-1.45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Note. All models fit via generalized least squares with a continuous-time AR(1) residual correlation structure (nlme::corCAR1) to account for temporal autocorrelation in the daily flux series (see lmm_outline_synthesis.R for the residual diagnostics motivating this). Temperature (b) and Discharge (c) are the raw coefficients from the additive (No Interaction) model; c is the log-log discharge slope (see Table S2), not a beta. * indicates p &lt; 0.05 for that term's own coefficient. Sign Match indicates whether temperature's and discharge's main-effect coefficients share the same sign. Lower AIC indicates better fit for that site. delta_AIC = AIC(No Interaction) - AIC(Interaction); positive values favor the interaction model. ΔAIC ≥ 2? = whether the AIC difference meets the standard rule-of-thumb threshold (Burnham &amp; Anderson 2002) for meaningfully better fit; "Yes" is labeled with which model that favors, "No" means the two models are statistically indistinguishable by AIC at that site.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2026-08-25T15:18:44Z</dcterms:modified>
  <cp:category/>
</cp:coreProperties>
</file>