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76"/>
        <w:gridCol w:w="1152"/>
        <w:gridCol w:w="1152"/>
        <w:gridCol w:w="1152"/>
        <w:gridCol w:w="864"/>
        <w:gridCol w:w="864"/>
        <w:gridCol w:w="864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rHeight w:val="360" w:hRule="auto"/>
          <w:tblHeader/>
        </w:trPr>
        <w:tc>
          <w:tcPr>
            <w:gridSpan w:val="16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S2. Site-level comparison of internal, external, and total CO2 flux sensitivity to temperature and discharge (GLS with AR(1) residuals): raw slopes by pathway, and standardized slopes grouped by pathway (with Temperature/Q as sub-columns) for direct magnitude comparison.</w:t>
            </w:r>
          </w:p>
        </w:tc>
      </w:tr>
      <w:tr>
        <w:trPr>
          <w:trHeight w:val="360" w:hRule="auto"/>
          <w:tblHeader/>
        </w:trPr>
        <w:tc>
          <w:tcPr>
            <w:vMerge w:val="restart"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Site</w:t>
            </w:r>
          </w:p>
        </w:tc>
        <w:tc>
          <w:tcPr>
            <w:gridSpan w:val="3"/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Temperature Slope (β; log10[g C m⁻² day⁻¹]·°C⁻¹)</w:t>
            </w:r>
          </w:p>
        </w:tc>
        <w:tc>
          <w:tcPr>
            <w:gridSpan w:val="3"/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Discharge Slope (c; log10[g C m⁻² day⁻¹]·log10[L s⁻¹]⁻¹)</w:t>
            </w:r>
          </w:p>
        </w:tc>
        <w:tc>
          <w:tcPr>
            <w:gridSpan w:val="9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Standardized Comparison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gridSpan w:val="3"/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gridSpan w:val="3"/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Internal</w:t>
            </w:r>
          </w:p>
        </w:tc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External</w:t>
            </w:r>
          </w:p>
        </w:tc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Internal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External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Internal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External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Favors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Favors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Favors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4.02e-02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-2.69e-03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1.43e-02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3.30e-03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-3.67e-02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-2.45e-02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5a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-2.97e-03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2.15e-03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-8.86e-03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2.03e-02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2.31e-02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1.82e-02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-6.75e-03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-4.04e-02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-4.13e-02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-2.78e-03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-1.78e-02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-1.55e-02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6.03e-03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-3.95e-02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-2.94e-02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5.87e-03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-2.95e-02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-2.71e-02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</w:tr>
      <w:tr>
        <w:trPr>
          <w:trHeight w:val="360" w:hRule="auto"/>
        </w:trPr>
        <w:tc>
          <w:tcPr>
            <w:gridSpan w:val="16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Note. Flux = CO2 flux (g C m⁻² day⁻¹); Q = discharge (L s⁻¹); Total = total CO2 flux (internal + external). All models fit via generalized least squares with a continuous-time AR(1) residual correlation structure (nlme::corCAR1) to account for temporal autocorrelation in the daily flux series (see lmm_outline_synthesis.R for the residual diagnostics motivating this). Temperature Slope (β) = coefficient from log10(flux) ~ TempC (Drop Q model), fit independently per site and pathway; units = log10(flux) per °C. Discharge Slope (c) = coefficient from log10(flux) ~ log10(Q) (Drop T model) — this is NOT a beta, it is the exponent of the log-log discharge (C-Q) rating-curve relationship; units = log10(flux) per log10(Q). Standardized Comparison = raw slope x SD(predictor) / SD(response), rescaling temperature and discharge coefficients onto the same "SD of response per SD of predictor" scale, grouped by pathway with Temperature and Q shown side by side within each so their magnitudes are directly comparable. Favors = predictor (Temp or Q) with the larger absolute standardized slope for that pathway, based on absolute standardized slope values.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2026-08-25T15:18:42Z</dcterms:modified>
  <cp:category/>
</cp:coreProperties>
</file>