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76"/>
        <w:gridCol w:w="1152"/>
        <w:gridCol w:w="1152"/>
        <w:gridCol w:w="1152"/>
        <w:gridCol w:w="864"/>
        <w:gridCol w:w="864"/>
        <w:gridCol w:w="864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rHeight w:val="360" w:hRule="auto"/>
          <w:tblHeader/>
        </w:trPr>
        <w:tc>
          <w:tcPr>
            <w:gridSpan w:val="16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S2. Site-level comparison of internal, external, and total CO2 flux sensitivity to temperature and discharge: raw slopes by pathway, and standardized slopes grouped by pathway (with Temperature/Q as sub-columns) for direct magnitude comparison.</w:t>
            </w:r>
          </w:p>
        </w:tc>
      </w:tr>
      <w:tr>
        <w:trPr>
          <w:trHeight w:val="360" w:hRule="auto"/>
          <w:tblHeader/>
        </w:trPr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gridSpan w:val="3"/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 Slope (β; log10[g C m⁻² day⁻¹]·°C⁻¹)</w:t>
            </w:r>
          </w:p>
        </w:tc>
        <w:tc>
          <w:tcPr>
            <w:gridSpan w:val="3"/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Discharge Slope (c; log10[g C m⁻² day⁻¹]·log10[L s⁻¹]⁻¹)</w:t>
            </w:r>
          </w:p>
        </w:tc>
        <w:tc>
          <w:tcPr>
            <w:gridSpan w:val="9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Standardized Comparison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gridSpan w:val="3"/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gridSpan w:val="3"/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Favors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5.00e-02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-3.52e-03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1.61e-02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-3.50e-02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-2.30e-02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2.54e-03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-3.35e-02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gridSpan w:val="16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Flux = CO2 flux (g C m⁻² day⁻¹); Q = discharge (L s⁻¹); Total = total CO2 flux (internal + external). Temperature Slope (β) = coefficient from log10(flux) ~ TempC (Drop Q model), fit independently per site and pathway; units = log10(flux) per °C. Discharge Slope (c) = coefficient from log10(flux) ~ log10(Q) (Drop T model) — this is NOT a beta, it is the exponent of the log-log discharge (C-Q) rating-curve relationship; units = log10(flux) per log10(Q). Standardized Comparison = raw slope x SD(predictor) / SD(response), rescaling temperature and discharge coefficients onto the same "SD of response per SD of predictor" scale, grouped by pathway with Temperature and Q shown side by side within each so their magnitudes are directly comparable. Favors = predictor (Temp or Q) with the larger absolute standardized slope for that pathway, based on absolute standardized slope values.</w:t>
            </w:r>
          </w:p>
        </w:tc>
      </w:tr>
    </w:tbl>
    <w:sectPr>
      <w:pgMar w:header="708" w:bottom="720" w:top="720" w:right="720" w:left="720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2026-08-11T17:39:27Z</dcterms:modified>
  <cp:category/>
</cp:coreProperties>
</file>