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648"/>
        <w:gridCol w:w="1368"/>
        <w:gridCol w:w="1368"/>
        <w:gridCol w:w="1152"/>
        <w:gridCol w:w="1368"/>
        <w:gridCol w:w="1368"/>
        <w:gridCol w:w="1368"/>
        <w:gridCol w:w="936"/>
        <w:gridCol w:w="1728"/>
      </w:tblGrid>
      <w:tr>
        <w:trPr>
          <w:trHeight w:val="360" w:hRule="auto"/>
          <w:tblHeader/>
        </w:trPr>
        <w:tc>
          <w:tcPr>
            <w:gridSpan w:val="10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S4. Main effects of temperature and discharge alongside their interaction, and the AIC comparison of additive (No Interaction) vs. interaction models, per site.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Response (log10)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Site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Temperature (b)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Discharge (c)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Sign Match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Interaction (b)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AIC: No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AIC: Interaction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ΔAIC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ΔAIC ≥ 2?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 CO2 Flux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-12.46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-81.10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68.65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-247.22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CO2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478.93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-241.60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-239.72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-28.17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-59.04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(No Interaction)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 CO2 Flux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265.57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175.47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Internal:External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-0.57*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(-)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-68.48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-74.94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Same (+)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(No Interaction)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89.73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85.88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 (Interaction)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Temperature (b) and Discharge (c) are the raw coefficients from the additive (No Interaction) model; c is the log-log discharge slope (see Table S2), not a beta. * indicates p &lt; 0.05 for that term's own coefficient. Sign Match indicates whether temperature's and discharge's main-effect coefficients share the same sign. Lower AIC indicates better fit for that site. delta_AIC = AIC(No Interaction) - AIC(Interaction); positive values favor the interaction model. ΔAIC ≥ 2? = whether the AIC difference meets the standard rule-of-thumb threshold (Burnham &amp; Anderson 2002) for meaningfully better fit; "Yes" is labeled with which model that favors, "No" means the two models are statistically indistinguishable by AIC at that site.</w:t>
            </w:r>
          </w:p>
        </w:tc>
      </w:tr>
    </w:tbl>
    <w:sectPr>
      <w:pgMar w:header="708" w:bottom="720" w:top="720" w:right="720" w:left="72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2026-08-11T17:39:31Z</dcterms:modified>
  <cp:category/>
</cp:coreProperties>
</file>