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648"/>
        <w:gridCol w:w="1368"/>
        <w:gridCol w:w="1368"/>
        <w:gridCol w:w="1152"/>
        <w:gridCol w:w="1368"/>
        <w:gridCol w:w="1368"/>
        <w:gridCol w:w="1368"/>
        <w:gridCol w:w="936"/>
        <w:gridCol w:w="1728"/>
      </w:tblGrid>
      <w:tr>
        <w:trPr>
          <w:trHeight w:val="360" w:hRule="auto"/>
          <w:tblHeader/>
        </w:trPr>
        <w:tc>
          <w:tcPr>
            <w:gridSpan w:val="10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S4. Main effects of temperature and discharge alongside their interaction (GLS with AR(1) residuals), and the AIC comparison of additive (No Interaction) vs. interaction models, per site.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Response (log10)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 (b)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Discharge (c)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Sign Match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Interaction (b)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AIC: No Interaction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AIC: Interaction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ΔAIC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ΔAIC ≥ 2?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 CO2 Flux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-177.15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-201.19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24.05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224.36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-97.68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-103.47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-312.49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-310.55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(-)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-25.42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 CO2 Flux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-225.60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-225.46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426.26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139.60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139.75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(No Interaction)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 CO2 Flux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225.51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-59.59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(-)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Internal:External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(-)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-149.60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-147.85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-9.21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33.09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All models fit via generalized least squares with a continuous-time AR(1) residual correlation structure (nlme::corCAR1) to account for temporal autocorrelation in the daily flux series (see lmm_outline_synthesis.R for the residual diagnostics motivating this). Temperature (b) and Discharge (c) are the raw coefficients from the additive (No Interaction) model; c is the log-log discharge slope (see Table S2), not a beta. * indicates p &lt; 0.05 for that term's own coefficient. Sign Match indicates whether temperature's and discharge's main-effect coefficients share the same sign. Lower AIC indicates better fit for that site. delta_AIC = AIC(No Interaction) - AIC(Interaction); positive values favor the interaction model. ΔAIC ≥ 2? = whether the AIC difference meets the standard rule-of-thumb threshold (Burnham &amp; Anderson 2002) for meaningfully better fit; "Yes" is labeled with which model that favors, "No" means the two models are statistically indistinguishable by AIC at that site.</w:t>
            </w:r>
          </w:p>
        </w:tc>
      </w:tr>
    </w:tbl>
    <w:sectPr>
      <w:pgMar w:header="708" w:bottom="720" w:top="720" w:right="720" w:left="720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2026-08-11T12:41:45Z</dcterms:modified>
  <cp:category/>
</cp:coreProperties>
</file>