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A3CDE" w14:textId="3CFAD5B4" w:rsidR="00A951B9" w:rsidRPr="008A5351" w:rsidRDefault="00433D71">
      <w:pPr>
        <w:rPr>
          <w:rFonts w:ascii="Arial" w:hAnsi="Arial" w:cs="Arial"/>
          <w:sz w:val="22"/>
          <w:szCs w:val="22"/>
        </w:rPr>
      </w:pPr>
      <w:r w:rsidRPr="008A5351">
        <w:rPr>
          <w:rFonts w:ascii="Arial" w:hAnsi="Arial" w:cs="Arial"/>
          <w:sz w:val="22"/>
          <w:szCs w:val="22"/>
        </w:rPr>
        <w:t xml:space="preserve">Chapter 1: Temporal and spatial carbon dynamic in Flatwood, Blackwater Streams: the Chimney-Reactor Pendulum </w:t>
      </w:r>
    </w:p>
    <w:p w14:paraId="4C49AF17" w14:textId="015D5248" w:rsidR="00C15C95" w:rsidRPr="008A5351" w:rsidRDefault="00C15C95" w:rsidP="00C15C95">
      <w:pPr>
        <w:pStyle w:val="ListParagraph"/>
        <w:numPr>
          <w:ilvl w:val="0"/>
          <w:numId w:val="1"/>
        </w:numPr>
        <w:rPr>
          <w:rFonts w:ascii="Arial" w:hAnsi="Arial" w:cs="Arial"/>
          <w:sz w:val="22"/>
          <w:szCs w:val="22"/>
        </w:rPr>
      </w:pPr>
      <w:r w:rsidRPr="008A5351">
        <w:rPr>
          <w:rFonts w:ascii="Arial" w:hAnsi="Arial" w:cs="Arial"/>
          <w:sz w:val="22"/>
          <w:szCs w:val="22"/>
        </w:rPr>
        <w:t>Streams link terrestrial and marine environments, transporting, storing, and transforming terrestrial carbon before it reaches the world’s oceans.</w:t>
      </w:r>
    </w:p>
    <w:p w14:paraId="41CEF0A7" w14:textId="0C36D5DA" w:rsidR="00C15C95" w:rsidRPr="008A5351" w:rsidRDefault="00C15C95" w:rsidP="00C15C95">
      <w:pPr>
        <w:pStyle w:val="ListParagraph"/>
        <w:numPr>
          <w:ilvl w:val="0"/>
          <w:numId w:val="1"/>
        </w:numPr>
        <w:rPr>
          <w:rFonts w:ascii="Arial" w:hAnsi="Arial" w:cs="Arial"/>
          <w:sz w:val="22"/>
          <w:szCs w:val="22"/>
        </w:rPr>
      </w:pPr>
      <w:r w:rsidRPr="008A5351">
        <w:rPr>
          <w:rFonts w:ascii="Arial" w:hAnsi="Arial" w:cs="Arial"/>
          <w:sz w:val="22"/>
          <w:szCs w:val="22"/>
        </w:rPr>
        <w:t xml:space="preserve">Terrestrial </w:t>
      </w:r>
      <w:r w:rsidR="0033133C" w:rsidRPr="008A5351">
        <w:rPr>
          <w:rFonts w:ascii="Arial" w:hAnsi="Arial" w:cs="Arial"/>
          <w:sz w:val="22"/>
          <w:szCs w:val="22"/>
        </w:rPr>
        <w:t>litterfall and debris</w:t>
      </w:r>
      <w:r w:rsidRPr="008A5351">
        <w:rPr>
          <w:rFonts w:ascii="Arial" w:hAnsi="Arial" w:cs="Arial"/>
          <w:sz w:val="22"/>
          <w:szCs w:val="22"/>
        </w:rPr>
        <w:t xml:space="preserve"> enters small, low-order streams and accumulate</w:t>
      </w:r>
      <w:r w:rsidR="0033133C" w:rsidRPr="008A5351">
        <w:rPr>
          <w:rFonts w:ascii="Arial" w:hAnsi="Arial" w:cs="Arial"/>
          <w:sz w:val="22"/>
          <w:szCs w:val="22"/>
        </w:rPr>
        <w:t xml:space="preserve"> </w:t>
      </w:r>
      <w:r w:rsidRPr="008A5351">
        <w:rPr>
          <w:rFonts w:ascii="Arial" w:hAnsi="Arial" w:cs="Arial"/>
          <w:sz w:val="22"/>
          <w:szCs w:val="22"/>
        </w:rPr>
        <w:t>in large, high-order rivers before eventually discharging into coastal marshes.</w:t>
      </w:r>
    </w:p>
    <w:p w14:paraId="3AF314B4" w14:textId="4B9F5F38" w:rsidR="00C15C95" w:rsidRPr="008A5351" w:rsidRDefault="0033133C" w:rsidP="00C15C95">
      <w:pPr>
        <w:pStyle w:val="ListParagraph"/>
        <w:numPr>
          <w:ilvl w:val="0"/>
          <w:numId w:val="1"/>
        </w:numPr>
        <w:rPr>
          <w:rFonts w:ascii="Arial" w:hAnsi="Arial" w:cs="Arial"/>
          <w:sz w:val="22"/>
          <w:szCs w:val="22"/>
        </w:rPr>
      </w:pPr>
      <w:r w:rsidRPr="008A5351">
        <w:rPr>
          <w:rFonts w:ascii="Arial" w:hAnsi="Arial" w:cs="Arial"/>
          <w:sz w:val="22"/>
          <w:szCs w:val="22"/>
        </w:rPr>
        <w:t>In the “conventional carbon cycle”</w:t>
      </w:r>
      <w:r w:rsidR="00C15C95" w:rsidRPr="008A5351">
        <w:rPr>
          <w:rFonts w:ascii="Arial" w:hAnsi="Arial" w:cs="Arial"/>
          <w:sz w:val="22"/>
          <w:szCs w:val="22"/>
        </w:rPr>
        <w:t>, this transport from low to high-order streams and rivers was viewed as passive, with minimal biogeochemical activity.</w:t>
      </w:r>
    </w:p>
    <w:p w14:paraId="1A6E15A9" w14:textId="77777777" w:rsidR="00C15C95" w:rsidRPr="008A5351" w:rsidRDefault="00C15C95" w:rsidP="00C15C95">
      <w:pPr>
        <w:pStyle w:val="ListParagraph"/>
        <w:numPr>
          <w:ilvl w:val="0"/>
          <w:numId w:val="1"/>
        </w:numPr>
        <w:rPr>
          <w:rFonts w:ascii="Arial" w:hAnsi="Arial" w:cs="Arial"/>
          <w:sz w:val="22"/>
          <w:szCs w:val="22"/>
        </w:rPr>
      </w:pPr>
      <w:r w:rsidRPr="008A5351">
        <w:rPr>
          <w:rFonts w:ascii="Arial" w:hAnsi="Arial" w:cs="Arial"/>
          <w:sz w:val="22"/>
          <w:szCs w:val="22"/>
        </w:rPr>
        <w:t>Currently, streams and rivers are understood to play an active role in global carbon cycling. Less than half of terrestrial carbon inputs reach the oceans; the rest is mineralized or stored as water flows toward the coast.</w:t>
      </w:r>
    </w:p>
    <w:p w14:paraId="0C41A6D3" w14:textId="0AA0B51E" w:rsidR="00C15C95" w:rsidRPr="008A5351" w:rsidRDefault="00C15C95" w:rsidP="00C15C95">
      <w:pPr>
        <w:pStyle w:val="ListParagraph"/>
        <w:numPr>
          <w:ilvl w:val="0"/>
          <w:numId w:val="1"/>
        </w:numPr>
        <w:rPr>
          <w:rFonts w:ascii="Arial" w:hAnsi="Arial" w:cs="Arial"/>
          <w:sz w:val="22"/>
          <w:szCs w:val="22"/>
        </w:rPr>
      </w:pPr>
      <w:r w:rsidRPr="008A5351">
        <w:rPr>
          <w:rFonts w:ascii="Arial" w:hAnsi="Arial" w:cs="Arial"/>
          <w:sz w:val="22"/>
          <w:szCs w:val="22"/>
        </w:rPr>
        <w:t xml:space="preserve">Furthermore, the total stream carbon flux is often greater per unit area than that of the surrounding terrestrial </w:t>
      </w:r>
      <w:r w:rsidR="0033133C" w:rsidRPr="008A5351">
        <w:rPr>
          <w:rFonts w:ascii="Arial" w:hAnsi="Arial" w:cs="Arial"/>
          <w:sz w:val="22"/>
          <w:szCs w:val="22"/>
        </w:rPr>
        <w:t>landscape</w:t>
      </w:r>
      <w:r w:rsidRPr="008A5351">
        <w:rPr>
          <w:rFonts w:ascii="Arial" w:hAnsi="Arial" w:cs="Arial"/>
          <w:sz w:val="22"/>
          <w:szCs w:val="22"/>
        </w:rPr>
        <w:t>. Despite only half of terrestrial carbon entering streams, CO2 emissions from global streams are equivalent to terrestrial net ecosystem productivity creating an imbalance between carbon inputs and carbon outputs.</w:t>
      </w:r>
    </w:p>
    <w:p w14:paraId="4DA9A97E" w14:textId="55205032" w:rsidR="00C15C95" w:rsidRPr="008A5351" w:rsidRDefault="00C15C95" w:rsidP="00C15C95">
      <w:pPr>
        <w:pStyle w:val="ListParagraph"/>
        <w:numPr>
          <w:ilvl w:val="0"/>
          <w:numId w:val="1"/>
        </w:numPr>
        <w:rPr>
          <w:rFonts w:ascii="Arial" w:hAnsi="Arial" w:cs="Arial"/>
          <w:sz w:val="22"/>
          <w:szCs w:val="22"/>
        </w:rPr>
      </w:pPr>
      <w:r w:rsidRPr="008A5351">
        <w:rPr>
          <w:rFonts w:ascii="Arial" w:hAnsi="Arial" w:cs="Arial"/>
          <w:sz w:val="22"/>
          <w:szCs w:val="22"/>
        </w:rPr>
        <w:t>This imbalance creates major uncertainties in regional and global carbon budgets</w:t>
      </w:r>
      <w:r w:rsidR="00E8719F" w:rsidRPr="008A5351">
        <w:rPr>
          <w:rFonts w:ascii="Arial" w:hAnsi="Arial" w:cs="Arial"/>
          <w:sz w:val="22"/>
          <w:szCs w:val="22"/>
        </w:rPr>
        <w:t xml:space="preserve"> with stream carbon sources debated within the literature</w:t>
      </w:r>
      <w:r w:rsidRPr="008A5351">
        <w:rPr>
          <w:rFonts w:ascii="Arial" w:hAnsi="Arial" w:cs="Arial"/>
          <w:sz w:val="22"/>
          <w:szCs w:val="22"/>
        </w:rPr>
        <w:t>.</w:t>
      </w:r>
    </w:p>
    <w:p w14:paraId="00D83380" w14:textId="2205E8E7" w:rsidR="00C15C95" w:rsidRPr="008A5351" w:rsidRDefault="00E8719F" w:rsidP="00C15C95">
      <w:pPr>
        <w:pStyle w:val="ListParagraph"/>
        <w:numPr>
          <w:ilvl w:val="0"/>
          <w:numId w:val="1"/>
        </w:numPr>
        <w:rPr>
          <w:rFonts w:ascii="Arial" w:hAnsi="Arial" w:cs="Arial"/>
          <w:sz w:val="22"/>
          <w:szCs w:val="22"/>
        </w:rPr>
      </w:pPr>
      <w:r w:rsidRPr="008A5351">
        <w:rPr>
          <w:rFonts w:ascii="Arial" w:hAnsi="Arial" w:cs="Arial"/>
          <w:sz w:val="22"/>
          <w:szCs w:val="22"/>
        </w:rPr>
        <w:t>From a</w:t>
      </w:r>
      <w:r w:rsidR="00C15C95" w:rsidRPr="008A5351">
        <w:rPr>
          <w:rFonts w:ascii="Arial" w:hAnsi="Arial" w:cs="Arial"/>
          <w:sz w:val="22"/>
          <w:szCs w:val="22"/>
        </w:rPr>
        <w:t xml:space="preserve"> global </w:t>
      </w:r>
      <w:r w:rsidRPr="008A5351">
        <w:rPr>
          <w:rFonts w:ascii="Arial" w:hAnsi="Arial" w:cs="Arial"/>
          <w:sz w:val="22"/>
          <w:szCs w:val="22"/>
        </w:rPr>
        <w:t>perspective</w:t>
      </w:r>
      <w:r w:rsidR="00C15C95" w:rsidRPr="008A5351">
        <w:rPr>
          <w:rFonts w:ascii="Arial" w:hAnsi="Arial" w:cs="Arial"/>
          <w:sz w:val="22"/>
          <w:szCs w:val="22"/>
        </w:rPr>
        <w:t>, this gap is attributed to CO2-rich groundwater inputs degassing from the stream channel. However, other sources, such as riparian or internal carbon</w:t>
      </w:r>
      <w:r w:rsidRPr="008A5351">
        <w:rPr>
          <w:rFonts w:ascii="Arial" w:hAnsi="Arial" w:cs="Arial"/>
          <w:sz w:val="22"/>
          <w:szCs w:val="22"/>
        </w:rPr>
        <w:t xml:space="preserve"> production</w:t>
      </w:r>
      <w:r w:rsidR="00C15C95" w:rsidRPr="008A5351">
        <w:rPr>
          <w:rFonts w:ascii="Arial" w:hAnsi="Arial" w:cs="Arial"/>
          <w:sz w:val="22"/>
          <w:szCs w:val="22"/>
        </w:rPr>
        <w:t>, are insufficiently explored</w:t>
      </w:r>
      <w:r w:rsidRPr="008A5351">
        <w:rPr>
          <w:rFonts w:ascii="Arial" w:hAnsi="Arial" w:cs="Arial"/>
          <w:sz w:val="22"/>
          <w:szCs w:val="22"/>
        </w:rPr>
        <w:t xml:space="preserve"> nor the processes that drive these fluxes.</w:t>
      </w:r>
    </w:p>
    <w:p w14:paraId="236B87D6" w14:textId="480ADF41" w:rsidR="00C15C95" w:rsidRPr="008A5351" w:rsidRDefault="00C15C95" w:rsidP="00137016">
      <w:pPr>
        <w:pStyle w:val="ListParagraph"/>
        <w:numPr>
          <w:ilvl w:val="0"/>
          <w:numId w:val="1"/>
        </w:numPr>
        <w:rPr>
          <w:rFonts w:ascii="Arial" w:hAnsi="Arial" w:cs="Arial"/>
          <w:sz w:val="22"/>
          <w:szCs w:val="22"/>
        </w:rPr>
      </w:pPr>
    </w:p>
    <w:p w14:paraId="43E5460A" w14:textId="5D44041C" w:rsidR="007643DE" w:rsidRPr="008A5351" w:rsidRDefault="007643DE" w:rsidP="007643DE">
      <w:pPr>
        <w:pStyle w:val="ListParagraph"/>
        <w:numPr>
          <w:ilvl w:val="0"/>
          <w:numId w:val="1"/>
        </w:numPr>
        <w:rPr>
          <w:rFonts w:ascii="Arial" w:hAnsi="Arial" w:cs="Arial"/>
          <w:sz w:val="22"/>
          <w:szCs w:val="22"/>
        </w:rPr>
      </w:pPr>
      <w:proofErr w:type="gramStart"/>
      <w:r w:rsidRPr="008A5351">
        <w:rPr>
          <w:rFonts w:ascii="Arial" w:hAnsi="Arial" w:cs="Arial"/>
          <w:sz w:val="22"/>
          <w:szCs w:val="22"/>
        </w:rPr>
        <w:t>An</w:t>
      </w:r>
      <w:proofErr w:type="gramEnd"/>
      <w:r w:rsidRPr="008A5351">
        <w:rPr>
          <w:rFonts w:ascii="Arial" w:hAnsi="Arial" w:cs="Arial"/>
          <w:sz w:val="22"/>
          <w:szCs w:val="22"/>
        </w:rPr>
        <w:t xml:space="preserve"> area of stream carbon that is inadequately researched but increasingly </w:t>
      </w:r>
      <w:r w:rsidRPr="008A5351">
        <w:rPr>
          <w:rFonts w:ascii="Arial" w:hAnsi="Arial" w:cs="Arial"/>
          <w:sz w:val="22"/>
          <w:szCs w:val="22"/>
        </w:rPr>
        <w:t>important</w:t>
      </w:r>
      <w:r w:rsidRPr="008A5351">
        <w:rPr>
          <w:rFonts w:ascii="Arial" w:hAnsi="Arial" w:cs="Arial"/>
          <w:sz w:val="22"/>
          <w:szCs w:val="22"/>
        </w:rPr>
        <w:t xml:space="preserve"> is the contribution of low-order, headwater streams to global carbon cycling.</w:t>
      </w:r>
    </w:p>
    <w:p w14:paraId="4DBCCF0A" w14:textId="77777777"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t>Small streams encompass less than 1% of Earth’s area yet are the largest portion of all rivers and streams, draining approximately 75% of watersheds.</w:t>
      </w:r>
    </w:p>
    <w:p w14:paraId="5F5F9191" w14:textId="77777777"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t>Small, low-order streams are hypothesized to play a disproportionately active role in global carbon cycling.</w:t>
      </w:r>
    </w:p>
    <w:p w14:paraId="706046D5" w14:textId="77777777"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t>Smaller headwater catchments have higher DOC concentrations than high-order, downstream waters, and 36% of flowing-water CO2 is predicted to originate from small streams (0.93 Pg-C/</w:t>
      </w:r>
      <w:proofErr w:type="spellStart"/>
      <w:r w:rsidRPr="008A5351">
        <w:rPr>
          <w:rFonts w:ascii="Arial" w:hAnsi="Arial" w:cs="Arial"/>
          <w:sz w:val="22"/>
          <w:szCs w:val="22"/>
        </w:rPr>
        <w:t>yr</w:t>
      </w:r>
      <w:proofErr w:type="spellEnd"/>
      <w:r w:rsidRPr="008A5351">
        <w:rPr>
          <w:rFonts w:ascii="Arial" w:hAnsi="Arial" w:cs="Arial"/>
          <w:sz w:val="22"/>
          <w:szCs w:val="22"/>
        </w:rPr>
        <w:t>).</w:t>
      </w:r>
    </w:p>
    <w:p w14:paraId="388A4D72" w14:textId="77777777"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t>However, CO2 emissions and carbon dynamics in headwater streams are insufficiently explored, and existing estimates are largely preliminary.</w:t>
      </w:r>
    </w:p>
    <w:p w14:paraId="2CC9CFD4" w14:textId="3436C358"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t>Most research investigate</w:t>
      </w:r>
      <w:r w:rsidRPr="008A5351">
        <w:rPr>
          <w:rFonts w:ascii="Arial" w:hAnsi="Arial" w:cs="Arial"/>
          <w:sz w:val="22"/>
          <w:szCs w:val="22"/>
        </w:rPr>
        <w:t>s</w:t>
      </w:r>
      <w:r w:rsidRPr="008A5351">
        <w:rPr>
          <w:rFonts w:ascii="Arial" w:hAnsi="Arial" w:cs="Arial"/>
          <w:sz w:val="22"/>
          <w:szCs w:val="22"/>
        </w:rPr>
        <w:t xml:space="preserve"> carbon dynamics in streams </w:t>
      </w:r>
      <w:r w:rsidRPr="008A5351">
        <w:rPr>
          <w:rFonts w:ascii="Arial" w:hAnsi="Arial" w:cs="Arial"/>
          <w:sz w:val="22"/>
          <w:szCs w:val="22"/>
        </w:rPr>
        <w:t>four-</w:t>
      </w:r>
      <w:r w:rsidRPr="008A5351">
        <w:rPr>
          <w:rFonts w:ascii="Arial" w:hAnsi="Arial" w:cs="Arial"/>
          <w:sz w:val="22"/>
          <w:szCs w:val="22"/>
        </w:rPr>
        <w:t>order</w:t>
      </w:r>
      <w:r w:rsidRPr="008A5351">
        <w:rPr>
          <w:rFonts w:ascii="Arial" w:hAnsi="Arial" w:cs="Arial"/>
          <w:sz w:val="22"/>
          <w:szCs w:val="22"/>
        </w:rPr>
        <w:t>s</w:t>
      </w:r>
      <w:r w:rsidRPr="008A5351">
        <w:rPr>
          <w:rFonts w:ascii="Arial" w:hAnsi="Arial" w:cs="Arial"/>
          <w:sz w:val="22"/>
          <w:szCs w:val="22"/>
        </w:rPr>
        <w:t xml:space="preserve"> or higher, overlooking first, second, and </w:t>
      </w:r>
      <w:proofErr w:type="gramStart"/>
      <w:r w:rsidRPr="008A5351">
        <w:rPr>
          <w:rFonts w:ascii="Arial" w:hAnsi="Arial" w:cs="Arial"/>
          <w:sz w:val="22"/>
          <w:szCs w:val="22"/>
        </w:rPr>
        <w:t>third-order</w:t>
      </w:r>
      <w:proofErr w:type="gramEnd"/>
      <w:r w:rsidRPr="008A5351">
        <w:rPr>
          <w:rFonts w:ascii="Arial" w:hAnsi="Arial" w:cs="Arial"/>
          <w:sz w:val="22"/>
          <w:szCs w:val="22"/>
        </w:rPr>
        <w:t>, often perennial, streams.</w:t>
      </w:r>
    </w:p>
    <w:p w14:paraId="30A80C8E" w14:textId="7593D804"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t xml:space="preserve">Numerous models have predicted a negative relationship between gas transfer velocity and stream </w:t>
      </w:r>
      <w:r w:rsidR="00E57657" w:rsidRPr="008A5351">
        <w:rPr>
          <w:rFonts w:ascii="Arial" w:hAnsi="Arial" w:cs="Arial"/>
          <w:sz w:val="22"/>
          <w:szCs w:val="22"/>
        </w:rPr>
        <w:t>order and</w:t>
      </w:r>
      <w:r w:rsidRPr="008A5351">
        <w:rPr>
          <w:rFonts w:ascii="Arial" w:hAnsi="Arial" w:cs="Arial"/>
          <w:sz w:val="22"/>
          <w:szCs w:val="22"/>
        </w:rPr>
        <w:t xml:space="preserve"> estimate CO2 emissions from first to third-order streams </w:t>
      </w:r>
      <w:r w:rsidRPr="008A5351">
        <w:rPr>
          <w:rFonts w:ascii="Arial" w:hAnsi="Arial" w:cs="Arial"/>
          <w:sz w:val="22"/>
          <w:szCs w:val="22"/>
        </w:rPr>
        <w:t>contribute</w:t>
      </w:r>
      <w:r w:rsidRPr="008A5351">
        <w:rPr>
          <w:rFonts w:ascii="Arial" w:hAnsi="Arial" w:cs="Arial"/>
          <w:sz w:val="22"/>
          <w:szCs w:val="22"/>
        </w:rPr>
        <w:t xml:space="preserve"> three times the global stream average (4000 ppm), suggesting global budgets underestimate global stream CO2 emissions.</w:t>
      </w:r>
    </w:p>
    <w:p w14:paraId="39F66AC5" w14:textId="38559749"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t xml:space="preserve">Small streams are expected to majorly influence global carbon cycling relative to the area they </w:t>
      </w:r>
      <w:r w:rsidR="00E57657" w:rsidRPr="008A5351">
        <w:rPr>
          <w:rFonts w:ascii="Arial" w:hAnsi="Arial" w:cs="Arial"/>
          <w:sz w:val="22"/>
          <w:szCs w:val="22"/>
        </w:rPr>
        <w:t>occupy but</w:t>
      </w:r>
      <w:r w:rsidRPr="008A5351">
        <w:rPr>
          <w:rFonts w:ascii="Arial" w:hAnsi="Arial" w:cs="Arial"/>
          <w:sz w:val="22"/>
          <w:szCs w:val="22"/>
        </w:rPr>
        <w:t xml:space="preserve"> estimates of small stream carbon fluxes and the processes driving </w:t>
      </w:r>
      <w:r w:rsidR="00E57657" w:rsidRPr="008A5351">
        <w:rPr>
          <w:rFonts w:ascii="Arial" w:hAnsi="Arial" w:cs="Arial"/>
          <w:sz w:val="22"/>
          <w:szCs w:val="22"/>
        </w:rPr>
        <w:t>the</w:t>
      </w:r>
      <w:r w:rsidRPr="008A5351">
        <w:rPr>
          <w:rFonts w:ascii="Arial" w:hAnsi="Arial" w:cs="Arial"/>
          <w:sz w:val="22"/>
          <w:szCs w:val="22"/>
        </w:rPr>
        <w:t xml:space="preserve"> high biogeochemical activity are relatively few and largely speculative.</w:t>
      </w:r>
    </w:p>
    <w:p w14:paraId="3D6AD079" w14:textId="1A9CD25E" w:rsidR="007643DE" w:rsidRPr="008A5351" w:rsidRDefault="007643DE" w:rsidP="007643DE">
      <w:pPr>
        <w:pStyle w:val="ListParagraph"/>
        <w:numPr>
          <w:ilvl w:val="0"/>
          <w:numId w:val="1"/>
        </w:numPr>
        <w:rPr>
          <w:rFonts w:ascii="Arial" w:hAnsi="Arial" w:cs="Arial"/>
          <w:sz w:val="22"/>
          <w:szCs w:val="22"/>
        </w:rPr>
      </w:pPr>
      <w:r w:rsidRPr="008A5351">
        <w:rPr>
          <w:rFonts w:ascii="Arial" w:hAnsi="Arial" w:cs="Arial"/>
          <w:sz w:val="22"/>
          <w:szCs w:val="22"/>
        </w:rPr>
        <w:lastRenderedPageBreak/>
        <w:t xml:space="preserve">This is partially due to the remote, undeveloped locations of most headwater streams, making remote sensing delineation challenging and field access </w:t>
      </w:r>
      <w:r w:rsidR="00914D35" w:rsidRPr="008A5351">
        <w:rPr>
          <w:rFonts w:ascii="Arial" w:hAnsi="Arial" w:cs="Arial"/>
          <w:sz w:val="22"/>
          <w:szCs w:val="22"/>
        </w:rPr>
        <w:t>energy intensive</w:t>
      </w:r>
      <w:r w:rsidRPr="008A5351">
        <w:rPr>
          <w:rFonts w:ascii="Arial" w:hAnsi="Arial" w:cs="Arial"/>
          <w:sz w:val="22"/>
          <w:szCs w:val="22"/>
        </w:rPr>
        <w:t>. Additionally, scaling limitations, especially for gas exchange rates and discharge estimates in “infinitely small” perennial streams, create inaccuracies that hinder comprehensive global estimates.</w:t>
      </w:r>
    </w:p>
    <w:p w14:paraId="327A9C69" w14:textId="29B478B2" w:rsidR="007643DE" w:rsidRPr="008A5351" w:rsidRDefault="007643DE" w:rsidP="00E57657">
      <w:pPr>
        <w:pStyle w:val="ListParagraph"/>
        <w:numPr>
          <w:ilvl w:val="0"/>
          <w:numId w:val="1"/>
        </w:numPr>
        <w:rPr>
          <w:rFonts w:ascii="Arial" w:hAnsi="Arial" w:cs="Arial"/>
          <w:sz w:val="22"/>
          <w:szCs w:val="22"/>
        </w:rPr>
      </w:pPr>
      <w:r w:rsidRPr="008A5351">
        <w:rPr>
          <w:rFonts w:ascii="Arial" w:hAnsi="Arial" w:cs="Arial"/>
          <w:sz w:val="22"/>
          <w:szCs w:val="22"/>
        </w:rPr>
        <w:t>Carbon that enters high-order streams, like oceans, is the byproduct of numerous biogeochemical reactions across meters to kilometers of low-order streams. The processes in low-order streams that influence higher-order carbon are still unknown.</w:t>
      </w:r>
    </w:p>
    <w:p w14:paraId="08426478" w14:textId="77777777" w:rsidR="00E57657" w:rsidRPr="008A5351" w:rsidRDefault="00E57657" w:rsidP="00AB37D3">
      <w:pPr>
        <w:pStyle w:val="ListParagraph"/>
        <w:numPr>
          <w:ilvl w:val="0"/>
          <w:numId w:val="1"/>
        </w:numPr>
        <w:rPr>
          <w:rFonts w:ascii="Arial" w:hAnsi="Arial" w:cs="Arial"/>
          <w:sz w:val="22"/>
          <w:szCs w:val="22"/>
        </w:rPr>
      </w:pPr>
    </w:p>
    <w:p w14:paraId="54A324CB"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What is understood, but nonetheless poorly constrained, is that stream carbon follows two primary pathways: the chimney or reactor pathway.</w:t>
      </w:r>
    </w:p>
    <w:p w14:paraId="11C75BFC"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The chimney pathway involves the passive transport of externally sourced carbon (predominantly from soil, groundwater, or the riparian zone) that exits the stream through CO2 degassing with minimal downstream transport.</w:t>
      </w:r>
    </w:p>
    <w:p w14:paraId="28209D07"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In this pathway, the stream serves as a “chimney,” or a vector for atmospheric exchange.</w:t>
      </w:r>
    </w:p>
    <w:p w14:paraId="0634DE27"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In contrast, the reactor pathway involves the mineralization of organic carbon through respiration or anaerobic processes, producing CO2 as a byproduct. In the reactor pathway, carbon is actively transformed from organic to inorganic forms.</w:t>
      </w:r>
    </w:p>
    <w:p w14:paraId="353B3205"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 xml:space="preserve">More CO2 is degassed from streams </w:t>
      </w:r>
      <w:proofErr w:type="gramStart"/>
      <w:r w:rsidRPr="008A5351">
        <w:rPr>
          <w:rFonts w:ascii="Arial" w:hAnsi="Arial" w:cs="Arial"/>
          <w:sz w:val="22"/>
          <w:szCs w:val="22"/>
        </w:rPr>
        <w:t>than what</w:t>
      </w:r>
      <w:proofErr w:type="gramEnd"/>
      <w:r w:rsidRPr="008A5351">
        <w:rPr>
          <w:rFonts w:ascii="Arial" w:hAnsi="Arial" w:cs="Arial"/>
          <w:sz w:val="22"/>
          <w:szCs w:val="22"/>
        </w:rPr>
        <w:t xml:space="preserve"> terrestrial inputs and internal production (the reactor pathway) can account for. Therefore, this “gap” is attributed to “chimney” carbon, assumed to be sourced from groundwater inputs.</w:t>
      </w:r>
    </w:p>
    <w:p w14:paraId="3AFAB7F8"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However, the reactor pathway, the internal production of carbon via mineralization, is itself poorly constrained, with publications attributing anywhere from 12% to 40% of total stream carbon to respiration, while other external sources are often ignored.</w:t>
      </w:r>
    </w:p>
    <w:p w14:paraId="3F7069E1"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These estimates overlook how the prominence of each pathway is dependent on spatial and temporal factors linked to landscape hydrology.</w:t>
      </w:r>
    </w:p>
    <w:p w14:paraId="569AACD6"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Seasonal changes, such as temperature and precipitation, can influence the rate of biogeochemical reactions, while perennial flow regimes impact residence times, with high flows disrupting the stream's ability to process carbon.</w:t>
      </w:r>
    </w:p>
    <w:p w14:paraId="06E56E41" w14:textId="7777777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Additionally, landscape slope, soil permeability, and wetland area impact lateral, overland, and subsurface carbon export, modulating the influence of the reactor pathway.</w:t>
      </w:r>
    </w:p>
    <w:p w14:paraId="2AC3654B" w14:textId="59CF8523"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As a result, streams oscillate between chimney and reactor states, dictated by temporal and spatial fluctuations in</w:t>
      </w:r>
      <w:r w:rsidRPr="008A5351">
        <w:rPr>
          <w:rFonts w:ascii="Arial" w:hAnsi="Arial" w:cs="Arial"/>
          <w:sz w:val="22"/>
          <w:szCs w:val="22"/>
        </w:rPr>
        <w:t xml:space="preserve"> </w:t>
      </w:r>
      <w:proofErr w:type="gramStart"/>
      <w:r w:rsidRPr="008A5351">
        <w:rPr>
          <w:rFonts w:ascii="Arial" w:hAnsi="Arial" w:cs="Arial"/>
          <w:sz w:val="22"/>
          <w:szCs w:val="22"/>
        </w:rPr>
        <w:t>the</w:t>
      </w:r>
      <w:r w:rsidRPr="008A5351">
        <w:rPr>
          <w:rFonts w:ascii="Arial" w:hAnsi="Arial" w:cs="Arial"/>
          <w:sz w:val="22"/>
          <w:szCs w:val="22"/>
        </w:rPr>
        <w:t xml:space="preserve"> landscape</w:t>
      </w:r>
      <w:proofErr w:type="gramEnd"/>
      <w:r w:rsidRPr="008A5351">
        <w:rPr>
          <w:rFonts w:ascii="Arial" w:hAnsi="Arial" w:cs="Arial"/>
          <w:sz w:val="22"/>
          <w:szCs w:val="22"/>
        </w:rPr>
        <w:t xml:space="preserve"> hydrology.</w:t>
      </w:r>
    </w:p>
    <w:p w14:paraId="2511B222" w14:textId="42AAA2C7"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Although the chimney pathway may dominate in some streams, it is not applicable to all flowing waters. Streams with flow equal to processing time</w:t>
      </w:r>
      <w:r w:rsidRPr="008A5351">
        <w:rPr>
          <w:rFonts w:ascii="Arial" w:hAnsi="Arial" w:cs="Arial"/>
          <w:sz w:val="22"/>
          <w:szCs w:val="22"/>
        </w:rPr>
        <w:t xml:space="preserve"> (low residence times)</w:t>
      </w:r>
      <w:r w:rsidRPr="008A5351">
        <w:rPr>
          <w:rFonts w:ascii="Arial" w:hAnsi="Arial" w:cs="Arial"/>
          <w:sz w:val="22"/>
          <w:szCs w:val="22"/>
        </w:rPr>
        <w:t xml:space="preserve"> in confined watersheds likely have larger reactor pathways, with chimney carbon sourced from riparian wetlands or soil rather than groundwater.</w:t>
      </w:r>
    </w:p>
    <w:p w14:paraId="32EB8B8F" w14:textId="0535BA7E"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t xml:space="preserve">Kirk and Cohen (2020) observed that the chimney pathway dominated in unconfined watersheds, </w:t>
      </w:r>
      <w:r w:rsidRPr="008A5351">
        <w:rPr>
          <w:rFonts w:ascii="Arial" w:hAnsi="Arial" w:cs="Arial"/>
          <w:sz w:val="22"/>
          <w:szCs w:val="22"/>
        </w:rPr>
        <w:t>while the</w:t>
      </w:r>
      <w:r w:rsidRPr="008A5351">
        <w:rPr>
          <w:rFonts w:ascii="Arial" w:hAnsi="Arial" w:cs="Arial"/>
          <w:sz w:val="22"/>
          <w:szCs w:val="22"/>
        </w:rPr>
        <w:t xml:space="preserve"> reactor pathway</w:t>
      </w:r>
      <w:r w:rsidRPr="008A5351">
        <w:rPr>
          <w:rFonts w:ascii="Arial" w:hAnsi="Arial" w:cs="Arial"/>
          <w:sz w:val="22"/>
          <w:szCs w:val="22"/>
        </w:rPr>
        <w:t xml:space="preserve"> </w:t>
      </w:r>
      <w:r w:rsidRPr="008A5351">
        <w:rPr>
          <w:rFonts w:ascii="Arial" w:hAnsi="Arial" w:cs="Arial"/>
          <w:sz w:val="22"/>
          <w:szCs w:val="22"/>
        </w:rPr>
        <w:t>contributed 94% of stream carbon in confined watersheds.</w:t>
      </w:r>
    </w:p>
    <w:p w14:paraId="1F239B37" w14:textId="1155B230" w:rsidR="00E57657" w:rsidRPr="008A5351" w:rsidRDefault="00E57657" w:rsidP="00E57657">
      <w:pPr>
        <w:pStyle w:val="ListParagraph"/>
        <w:numPr>
          <w:ilvl w:val="0"/>
          <w:numId w:val="1"/>
        </w:numPr>
        <w:rPr>
          <w:rFonts w:ascii="Arial" w:hAnsi="Arial" w:cs="Arial"/>
          <w:sz w:val="22"/>
          <w:szCs w:val="22"/>
        </w:rPr>
      </w:pPr>
      <w:r w:rsidRPr="008A5351">
        <w:rPr>
          <w:rFonts w:ascii="Arial" w:hAnsi="Arial" w:cs="Arial"/>
          <w:sz w:val="22"/>
          <w:szCs w:val="22"/>
        </w:rPr>
        <w:lastRenderedPageBreak/>
        <w:t>Attributing excess stream CO2 to groundwater inputs undermines the concept of “active pipes”—streams as active components in global carbon cycling—and underestimates the influence of other key carbon sources.</w:t>
      </w:r>
    </w:p>
    <w:p w14:paraId="7DDA704B" w14:textId="4012E91A" w:rsidR="00AE6D91" w:rsidRPr="008A5351" w:rsidRDefault="00AE6D91" w:rsidP="00E57657">
      <w:pPr>
        <w:pStyle w:val="ListParagraph"/>
        <w:numPr>
          <w:ilvl w:val="0"/>
          <w:numId w:val="1"/>
        </w:numPr>
        <w:rPr>
          <w:rFonts w:ascii="Arial" w:hAnsi="Arial" w:cs="Arial"/>
          <w:sz w:val="22"/>
          <w:szCs w:val="22"/>
        </w:rPr>
      </w:pPr>
      <w:r w:rsidRPr="008A5351">
        <w:rPr>
          <w:rFonts w:ascii="Arial" w:hAnsi="Arial" w:cs="Arial"/>
          <w:sz w:val="22"/>
          <w:szCs w:val="22"/>
        </w:rPr>
        <w:t xml:space="preserve"> </w:t>
      </w:r>
    </w:p>
    <w:p w14:paraId="278A631B" w14:textId="77777777"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For my first chapter, I will investigate the temporal and spatial dynamics of carbon within low-order, flatwood streams over multi-annual time scales, focusing on the response to flow extremes, seasonal fluctuations, and the surrounding landscape hydrology.</w:t>
      </w:r>
    </w:p>
    <w:p w14:paraId="0308BDA2" w14:textId="77777777"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To explore these dynamics, I have selected nine remote, flatwood streams within the Bradford Experimental Forest (BEF) and their higher-order receiving river, the Sampson River, to deploy high-frequency, long-term sensor packages containing CO2, dissolved oxygen (DO), and methane sensors.</w:t>
      </w:r>
    </w:p>
    <w:p w14:paraId="015F9386" w14:textId="77777777"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In addition to high-frequency observations, I will collect monthly samples for dissolved organic carbon (DOC), dissolved inorganic carbon (DIC), and particulate organic carbon (POC).</w:t>
      </w:r>
    </w:p>
    <w:p w14:paraId="4AAB1A7A" w14:textId="77777777"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I aim to parse these fluctuations into the reactor and chimney pathways, a perspective rarely explored in current literature.</w:t>
      </w:r>
    </w:p>
    <w:p w14:paraId="21239DE5" w14:textId="77777777"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I hypothesize that (1) the chimney pathway dominates in flatwood streams, but the reactor pathway becomes more prominent during baseflow conditions when residence times are longer and external contributions are minimal.</w:t>
      </w:r>
    </w:p>
    <w:p w14:paraId="6E6D3048" w14:textId="77777777"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I also expect (2) streams in basins with greater wetland areas to have more influential chimney pathways, whereas streams in basins with less wetland area exhibit a more prominent reactor pathway.</w:t>
      </w:r>
    </w:p>
    <w:p w14:paraId="6DE22F0B" w14:textId="77777777"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Lastly, I hypothesize (3) that low-order streams will have greater carbon concentrations (DOC, DIC, and POC) compared to their higher-order receiving river due to burial, biogeochemical activity, and passive degassing.</w:t>
      </w:r>
    </w:p>
    <w:p w14:paraId="09DAC562" w14:textId="1933A0A0" w:rsidR="00AE6D91" w:rsidRPr="008A5351" w:rsidRDefault="00AE6D91" w:rsidP="00AE6D91">
      <w:pPr>
        <w:pStyle w:val="ListParagraph"/>
        <w:numPr>
          <w:ilvl w:val="0"/>
          <w:numId w:val="1"/>
        </w:numPr>
        <w:rPr>
          <w:rFonts w:ascii="Arial" w:hAnsi="Arial" w:cs="Arial"/>
          <w:sz w:val="22"/>
          <w:szCs w:val="22"/>
        </w:rPr>
      </w:pPr>
      <w:r w:rsidRPr="008A5351">
        <w:rPr>
          <w:rFonts w:ascii="Arial" w:hAnsi="Arial" w:cs="Arial"/>
          <w:sz w:val="22"/>
          <w:szCs w:val="22"/>
        </w:rPr>
        <w:t>My objective for this research is to provide greater insight into headwater, low-order stream contributions to regional and global carbon cycling and to demonstrate how landscape hydrology can influence stream carbon dynamics.</w:t>
      </w:r>
    </w:p>
    <w:p w14:paraId="010C1774" w14:textId="4647A22A" w:rsidR="00B87CA8" w:rsidRPr="008A5351" w:rsidRDefault="00B87CA8" w:rsidP="00B87CA8">
      <w:pPr>
        <w:rPr>
          <w:rFonts w:ascii="Arial" w:hAnsi="Arial" w:cs="Arial"/>
          <w:sz w:val="22"/>
          <w:szCs w:val="22"/>
          <w:u w:val="single"/>
        </w:rPr>
      </w:pPr>
      <w:r w:rsidRPr="008A5351">
        <w:rPr>
          <w:rFonts w:ascii="Arial" w:hAnsi="Arial" w:cs="Arial"/>
          <w:sz w:val="22"/>
          <w:szCs w:val="22"/>
          <w:u w:val="single"/>
        </w:rPr>
        <w:t xml:space="preserve">Methods: </w:t>
      </w:r>
    </w:p>
    <w:p w14:paraId="02587686" w14:textId="003AC318" w:rsidR="008D535E" w:rsidRPr="008A5351" w:rsidRDefault="008D535E" w:rsidP="00B87CA8">
      <w:pPr>
        <w:rPr>
          <w:rFonts w:ascii="Arial" w:hAnsi="Arial" w:cs="Arial"/>
          <w:i/>
          <w:iCs/>
          <w:sz w:val="22"/>
          <w:szCs w:val="22"/>
        </w:rPr>
      </w:pPr>
      <w:r w:rsidRPr="008A5351">
        <w:rPr>
          <w:rFonts w:ascii="Arial" w:hAnsi="Arial" w:cs="Arial"/>
          <w:i/>
          <w:iCs/>
          <w:sz w:val="22"/>
          <w:szCs w:val="22"/>
        </w:rPr>
        <w:t>Sites:</w:t>
      </w:r>
    </w:p>
    <w:p w14:paraId="04AA3365" w14:textId="77777777" w:rsidR="003321D4" w:rsidRPr="008A5351" w:rsidRDefault="003321D4" w:rsidP="003321D4">
      <w:pPr>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The BEF is a contiguous pine flatwoods landscape situated above the Hawthorne Formation clay bed, which confines the principal aquifer, the Upper Floridan Aquifer (UFA) (Hensley &amp; Cohen, 2017). This area, characterized by low-relief topography, features numerous depressional basin wetlands typical of North Florida flatwoods. These wetlands, both isolated and riparian, support a shallow surficial aquifer that acts as a transport network for nutrients. The land is primarily managed for silviculture and is largely owned by the Rayonier Corporation, with only a few residential homes and businesses present.</w:t>
      </w:r>
    </w:p>
    <w:p w14:paraId="10826F27" w14:textId="77777777" w:rsidR="003321D4" w:rsidRPr="008A5351" w:rsidRDefault="003321D4" w:rsidP="003321D4">
      <w:pPr>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Streams within the BEF exhibit typical characteristics of blackwater systems: they are tannic, rich in dissolved organic carbon (DOC), have low pH levels, and contain high concentrations of carbon dioxide (CO</w:t>
      </w:r>
      <w:r w:rsidRPr="008A5351">
        <w:rPr>
          <w:rFonts w:ascii="Arial" w:eastAsia="Calibri" w:hAnsi="Arial" w:cs="Arial"/>
          <w:color w:val="000000" w:themeColor="text1"/>
          <w:sz w:val="22"/>
          <w:szCs w:val="22"/>
          <w:vertAlign w:val="subscript"/>
        </w:rPr>
        <w:t>2</w:t>
      </w:r>
      <w:r w:rsidRPr="008A5351">
        <w:rPr>
          <w:rFonts w:ascii="Arial" w:eastAsia="Calibri" w:hAnsi="Arial" w:cs="Arial"/>
          <w:color w:val="000000" w:themeColor="text1"/>
          <w:sz w:val="22"/>
          <w:szCs w:val="22"/>
        </w:rPr>
        <w:t xml:space="preserve">) (~20,000 ppm). These streams, both permanent and intermittent, drain the landscape before discharging into the Sampson River (at the southern extent) or Sampson Lake </w:t>
      </w:r>
      <w:r w:rsidRPr="008A5351">
        <w:rPr>
          <w:rFonts w:ascii="Arial" w:eastAsia="Calibri" w:hAnsi="Arial" w:cs="Arial"/>
          <w:color w:val="000000" w:themeColor="text1"/>
          <w:sz w:val="22"/>
          <w:szCs w:val="22"/>
        </w:rPr>
        <w:lastRenderedPageBreak/>
        <w:t>(at the northern extent). Nine streams (Stream IDs: 3, 5, 5a, 6, 6a, 7, 9, 13, and 15) across nine delineated basins were chosen for long-term observations and monthly sampling. Each stream displays distinct characteristics owing to each basin’s specific features, such as wetland area and groundwater influence. Each basin falls along a gradient of wetland area that dictates the stream’s hydroperiod. Streams 5a, 6a, and 15 are ephemeral, only wet after consecutive precipitation events. In contrast, Streams 5, 6, and 9 are rarely dry, likely due to the dense wetland coverage in basins 5, 6, and 9. Although groundwater seepage is uncommon in BEF, Stream 13 exhibits high specific conductivity, high DIC concentrations, and remarkably clear water for the landscape, indicating deeper groundwater influences.</w:t>
      </w:r>
    </w:p>
    <w:p w14:paraId="69062678" w14:textId="33A8EB25" w:rsidR="003321D4" w:rsidRPr="008A5351" w:rsidRDefault="003321D4" w:rsidP="003321D4">
      <w:pPr>
        <w:rPr>
          <w:rFonts w:ascii="Arial" w:eastAsia="Calibri" w:hAnsi="Arial" w:cs="Arial"/>
          <w:i/>
          <w:iCs/>
          <w:color w:val="000000" w:themeColor="text1"/>
          <w:sz w:val="22"/>
          <w:szCs w:val="22"/>
        </w:rPr>
      </w:pPr>
      <w:r w:rsidRPr="008A5351">
        <w:rPr>
          <w:rFonts w:ascii="Arial" w:eastAsia="Calibri" w:hAnsi="Arial" w:cs="Arial"/>
          <w:i/>
          <w:iCs/>
          <w:color w:val="000000" w:themeColor="text1"/>
          <w:sz w:val="22"/>
          <w:szCs w:val="22"/>
        </w:rPr>
        <w:t>Long-term, high-frequency observations:</w:t>
      </w:r>
    </w:p>
    <w:p w14:paraId="7BAD8EEF" w14:textId="77777777" w:rsidR="003321D4" w:rsidRPr="008A5351" w:rsidRDefault="003321D4" w:rsidP="003321D4">
      <w:pPr>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Each of the nine selected streams will be equipped with a sensor package that tracks hourly changes in water quality. This package includes sensors for dissolved oxygen (DO), pH, CO</w:t>
      </w:r>
      <w:r w:rsidRPr="008A5351">
        <w:rPr>
          <w:rFonts w:ascii="Arial" w:eastAsia="Calibri" w:hAnsi="Arial" w:cs="Arial"/>
          <w:color w:val="000000" w:themeColor="text1"/>
          <w:sz w:val="22"/>
          <w:szCs w:val="22"/>
          <w:vertAlign w:val="subscript"/>
        </w:rPr>
        <w:t>2</w:t>
      </w:r>
      <w:r w:rsidRPr="008A5351">
        <w:rPr>
          <w:rFonts w:ascii="Arial" w:eastAsia="Calibri" w:hAnsi="Arial" w:cs="Arial"/>
          <w:color w:val="000000" w:themeColor="text1"/>
          <w:sz w:val="22"/>
          <w:szCs w:val="22"/>
        </w:rPr>
        <w:t>, and specific conductivity (SpC), as well as a pressure transducer (PT) to measure depth. In streams 5 and 6a, located in the northern and southern regions respectively, a PT will be deployed in ambient air for accurate water depth calculations. Each sensor package will be serviced, and data offloaded once a month.</w:t>
      </w:r>
    </w:p>
    <w:p w14:paraId="06AB8ABC" w14:textId="4B10FF4D" w:rsidR="008D37D1" w:rsidRPr="008A5351" w:rsidRDefault="008D37D1" w:rsidP="003321D4">
      <w:pPr>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 xml:space="preserve">DO, temperature and depth readings will </w:t>
      </w:r>
      <w:r w:rsidR="00CB2C17" w:rsidRPr="008A5351">
        <w:rPr>
          <w:rFonts w:ascii="Arial" w:eastAsia="Calibri" w:hAnsi="Arial" w:cs="Arial"/>
          <w:color w:val="000000" w:themeColor="text1"/>
          <w:sz w:val="22"/>
          <w:szCs w:val="22"/>
        </w:rPr>
        <w:t>be used to estimate</w:t>
      </w:r>
      <w:r w:rsidRPr="008A5351">
        <w:rPr>
          <w:rFonts w:ascii="Arial" w:eastAsia="Calibri" w:hAnsi="Arial" w:cs="Arial"/>
          <w:color w:val="000000" w:themeColor="text1"/>
          <w:sz w:val="22"/>
          <w:szCs w:val="22"/>
        </w:rPr>
        <w:t xml:space="preserve"> stream metabolis</w:t>
      </w:r>
      <w:r w:rsidR="00CB2C17" w:rsidRPr="008A5351">
        <w:rPr>
          <w:rFonts w:ascii="Arial" w:eastAsia="Calibri" w:hAnsi="Arial" w:cs="Arial"/>
          <w:color w:val="000000" w:themeColor="text1"/>
          <w:sz w:val="22"/>
          <w:szCs w:val="22"/>
        </w:rPr>
        <w:t xml:space="preserve">m (see below). Stream metabolism track fluctuations in DO concentrations to predict </w:t>
      </w:r>
      <w:r w:rsidR="00CB2C17" w:rsidRPr="008A5351">
        <w:rPr>
          <w:rFonts w:ascii="Arial" w:eastAsia="Calibri" w:hAnsi="Arial" w:cs="Arial"/>
          <w:color w:val="000000" w:themeColor="text1"/>
          <w:sz w:val="22"/>
          <w:szCs w:val="22"/>
        </w:rPr>
        <w:t>gross primary productivity (GPP), DO produced by photosynthesis, and ecosystem respiration (ER), DO consumed by respiration</w:t>
      </w:r>
      <w:r w:rsidR="00CB2C17" w:rsidRPr="008A5351">
        <w:rPr>
          <w:rFonts w:ascii="Arial" w:eastAsia="Calibri" w:hAnsi="Arial" w:cs="Arial"/>
          <w:color w:val="000000" w:themeColor="text1"/>
          <w:sz w:val="22"/>
          <w:szCs w:val="22"/>
        </w:rPr>
        <w:t>. Assuming the respiration coefficient for DO and CO2 is 1:1, respiration rates predicted by stream metabolism will estimate CO2 sourced from the reactor pathway.</w:t>
      </w:r>
    </w:p>
    <w:p w14:paraId="4F8D9A85" w14:textId="0101BA76" w:rsidR="00CB2C17" w:rsidRPr="008A5351" w:rsidRDefault="00CB2C17" w:rsidP="003321D4">
      <w:pPr>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 xml:space="preserve">Temperature, CO2, and pH will be used to interpolate continuous concentrations of </w:t>
      </w:r>
      <w:r w:rsidRPr="008A5351">
        <w:rPr>
          <w:rFonts w:ascii="Arial" w:eastAsia="Calibri" w:hAnsi="Arial" w:cs="Arial"/>
          <w:color w:val="000000" w:themeColor="text1"/>
          <w:sz w:val="22"/>
          <w:szCs w:val="22"/>
        </w:rPr>
        <w:t>HCO</w:t>
      </w:r>
      <w:r w:rsidRPr="008A5351">
        <w:rPr>
          <w:rFonts w:ascii="Arial" w:eastAsia="Calibri" w:hAnsi="Arial" w:cs="Arial"/>
          <w:color w:val="000000" w:themeColor="text1"/>
          <w:sz w:val="22"/>
          <w:szCs w:val="22"/>
          <w:vertAlign w:val="subscript"/>
        </w:rPr>
        <w:t>3</w:t>
      </w:r>
      <w:r w:rsidRPr="008A5351">
        <w:rPr>
          <w:rFonts w:ascii="Arial" w:eastAsia="Calibri" w:hAnsi="Arial" w:cs="Arial"/>
          <w:color w:val="000000" w:themeColor="text1"/>
          <w:sz w:val="22"/>
          <w:szCs w:val="22"/>
        </w:rPr>
        <w:t xml:space="preserve"> </w:t>
      </w:r>
      <w:r w:rsidRPr="008A5351">
        <w:rPr>
          <w:rFonts w:ascii="Arial" w:eastAsia="Calibri" w:hAnsi="Arial" w:cs="Arial"/>
          <w:color w:val="000000" w:themeColor="text1"/>
          <w:sz w:val="22"/>
          <w:szCs w:val="22"/>
          <w:vertAlign w:val="superscript"/>
        </w:rPr>
        <w:t>-</w:t>
      </w:r>
      <w:r w:rsidRPr="008A5351">
        <w:rPr>
          <w:rFonts w:ascii="Arial" w:eastAsia="Calibri" w:hAnsi="Arial" w:cs="Arial"/>
          <w:color w:val="000000" w:themeColor="text1"/>
          <w:sz w:val="22"/>
          <w:szCs w:val="22"/>
        </w:rPr>
        <w:t>and CO</w:t>
      </w:r>
      <w:r w:rsidRPr="008A5351">
        <w:rPr>
          <w:rFonts w:ascii="Arial" w:eastAsia="Calibri" w:hAnsi="Arial" w:cs="Arial"/>
          <w:color w:val="000000" w:themeColor="text1"/>
          <w:sz w:val="22"/>
          <w:szCs w:val="22"/>
          <w:vertAlign w:val="subscript"/>
        </w:rPr>
        <w:t>3</w:t>
      </w:r>
      <w:r w:rsidRPr="008A5351">
        <w:rPr>
          <w:rFonts w:ascii="Arial" w:eastAsia="Calibri" w:hAnsi="Arial" w:cs="Arial"/>
          <w:color w:val="000000" w:themeColor="text1"/>
          <w:sz w:val="22"/>
          <w:szCs w:val="22"/>
          <w:vertAlign w:val="superscript"/>
        </w:rPr>
        <w:t>2-</w:t>
      </w:r>
      <w:r w:rsidRPr="008A5351">
        <w:rPr>
          <w:rFonts w:ascii="Arial" w:eastAsia="Calibri" w:hAnsi="Arial" w:cs="Arial"/>
          <w:color w:val="000000" w:themeColor="text1"/>
          <w:sz w:val="22"/>
          <w:szCs w:val="22"/>
        </w:rPr>
        <w:t xml:space="preserve"> from Bjerrum equations (see below). </w:t>
      </w:r>
    </w:p>
    <w:p w14:paraId="7197BCC3" w14:textId="63A8A0BD" w:rsidR="00CB2C17" w:rsidRPr="008A5351" w:rsidRDefault="00CB2C17" w:rsidP="003321D4">
      <w:pPr>
        <w:rPr>
          <w:rFonts w:ascii="Arial" w:eastAsia="Calibri" w:hAnsi="Arial" w:cs="Arial"/>
          <w:color w:val="000000" w:themeColor="text1"/>
          <w:sz w:val="22"/>
          <w:szCs w:val="22"/>
        </w:rPr>
      </w:pPr>
      <w:r w:rsidRPr="008A5351">
        <w:rPr>
          <w:rFonts w:ascii="Arial" w:eastAsia="Calibri" w:hAnsi="Arial" w:cs="Arial"/>
          <w:i/>
          <w:iCs/>
          <w:color w:val="000000" w:themeColor="text1"/>
          <w:sz w:val="22"/>
          <w:szCs w:val="22"/>
        </w:rPr>
        <w:t>Monthly Sampling</w:t>
      </w:r>
      <w:r w:rsidRPr="008A5351">
        <w:rPr>
          <w:rFonts w:ascii="Arial" w:eastAsia="Calibri" w:hAnsi="Arial" w:cs="Arial"/>
          <w:color w:val="000000" w:themeColor="text1"/>
          <w:sz w:val="22"/>
          <w:szCs w:val="22"/>
        </w:rPr>
        <w:t>:</w:t>
      </w:r>
    </w:p>
    <w:p w14:paraId="4A1CE5A6" w14:textId="24596956" w:rsidR="008D772E" w:rsidRPr="008A5351" w:rsidRDefault="008D772E" w:rsidP="008D772E">
      <w:pPr>
        <w:ind w:firstLine="360"/>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 xml:space="preserve">By sampling for each carbon species, I will estimate total stream carbon and observe how the proportions of these species change with flow and </w:t>
      </w:r>
      <w:proofErr w:type="spellStart"/>
      <w:proofErr w:type="gramStart"/>
      <w:r w:rsidRPr="008A5351">
        <w:rPr>
          <w:rFonts w:ascii="Arial" w:eastAsia="Calibri" w:hAnsi="Arial" w:cs="Arial"/>
          <w:color w:val="000000" w:themeColor="text1"/>
          <w:sz w:val="22"/>
          <w:szCs w:val="22"/>
        </w:rPr>
        <w:t>season.Particulate</w:t>
      </w:r>
      <w:proofErr w:type="spellEnd"/>
      <w:proofErr w:type="gramEnd"/>
      <w:r w:rsidRPr="008A5351">
        <w:rPr>
          <w:rFonts w:ascii="Arial" w:eastAsia="Calibri" w:hAnsi="Arial" w:cs="Arial"/>
          <w:color w:val="000000" w:themeColor="text1"/>
          <w:sz w:val="22"/>
          <w:szCs w:val="22"/>
        </w:rPr>
        <w:t xml:space="preserve"> organic carbon (POC) remains largely unexplored due to the nature of POC fluxes, which are storm-driven and therefore challenging to capture. However, in these </w:t>
      </w:r>
      <w:proofErr w:type="gramStart"/>
      <w:r w:rsidRPr="008A5351">
        <w:rPr>
          <w:rFonts w:ascii="Arial" w:eastAsia="Calibri" w:hAnsi="Arial" w:cs="Arial"/>
          <w:color w:val="000000" w:themeColor="text1"/>
          <w:sz w:val="22"/>
          <w:szCs w:val="22"/>
        </w:rPr>
        <w:t>low-order</w:t>
      </w:r>
      <w:proofErr w:type="gramEnd"/>
      <w:r w:rsidRPr="008A5351">
        <w:rPr>
          <w:rFonts w:ascii="Arial" w:eastAsia="Calibri" w:hAnsi="Arial" w:cs="Arial"/>
          <w:color w:val="000000" w:themeColor="text1"/>
          <w:sz w:val="22"/>
          <w:szCs w:val="22"/>
        </w:rPr>
        <w:t>, blackwater systems, notable POC concentrations are expected.</w:t>
      </w:r>
      <w:r w:rsidRPr="008A5351">
        <w:rPr>
          <w:rFonts w:ascii="Arial" w:eastAsia="Calibri" w:hAnsi="Arial" w:cs="Arial"/>
          <w:color w:val="000000" w:themeColor="text1"/>
          <w:sz w:val="22"/>
          <w:szCs w:val="22"/>
        </w:rPr>
        <w:t xml:space="preserve"> </w:t>
      </w:r>
      <w:r w:rsidRPr="008A5351">
        <w:rPr>
          <w:rFonts w:ascii="Arial" w:eastAsia="Calibri" w:hAnsi="Arial" w:cs="Arial"/>
          <w:color w:val="000000" w:themeColor="text1"/>
          <w:sz w:val="22"/>
          <w:szCs w:val="22"/>
        </w:rPr>
        <w:t>Dissolved organic carbon (DOC) is derived from the weathering of POC and powers respiration. DOC has the potential to alter energy dynamics within lotic ecosystems, serving as the preferred electron acceptor in aerobic and anaerobic biogeochemical reactions. Furthermore, DOC concentrations have been linked to flow, with high discharge rates positively correlated with DOC concentrations.</w:t>
      </w:r>
      <w:r w:rsidRPr="008A5351">
        <w:rPr>
          <w:rFonts w:ascii="Arial" w:eastAsia="Calibri" w:hAnsi="Arial" w:cs="Arial"/>
          <w:color w:val="000000" w:themeColor="text1"/>
          <w:sz w:val="22"/>
          <w:szCs w:val="22"/>
        </w:rPr>
        <w:t xml:space="preserve"> </w:t>
      </w:r>
      <w:r w:rsidRPr="008A5351">
        <w:rPr>
          <w:rFonts w:ascii="Arial" w:eastAsia="Calibri" w:hAnsi="Arial" w:cs="Arial"/>
          <w:color w:val="000000" w:themeColor="text1"/>
          <w:sz w:val="22"/>
          <w:szCs w:val="22"/>
        </w:rPr>
        <w:t xml:space="preserve">Dissolved inorganic carbon (DIC) includes mineral carbon and CO2. On average, the pH of BEF streams is less than 5, so substantial concentrations of DIC or </w:t>
      </w:r>
      <w:r w:rsidRPr="008A5351">
        <w:rPr>
          <w:rFonts w:ascii="Arial" w:eastAsia="Calibri" w:hAnsi="Arial" w:cs="Arial"/>
          <w:color w:val="000000" w:themeColor="text1"/>
          <w:sz w:val="22"/>
          <w:szCs w:val="22"/>
        </w:rPr>
        <w:t xml:space="preserve">the notable </w:t>
      </w:r>
      <w:r w:rsidRPr="008A5351">
        <w:rPr>
          <w:rFonts w:ascii="Arial" w:eastAsia="Calibri" w:hAnsi="Arial" w:cs="Arial"/>
          <w:color w:val="000000" w:themeColor="text1"/>
          <w:sz w:val="22"/>
          <w:szCs w:val="22"/>
        </w:rPr>
        <w:t>presence of CO3^2- are not expected. Nonetheless, given that Florida is essentially a massive limestone deposit with known groundwater influence, it is essential to measure DIC.</w:t>
      </w:r>
      <w:r w:rsidRPr="008A5351">
        <w:rPr>
          <w:rFonts w:ascii="Arial" w:eastAsia="Calibri" w:hAnsi="Arial" w:cs="Arial"/>
          <w:color w:val="000000" w:themeColor="text1"/>
          <w:sz w:val="22"/>
          <w:szCs w:val="22"/>
        </w:rPr>
        <w:t xml:space="preserve"> </w:t>
      </w:r>
      <w:r w:rsidRPr="008A5351">
        <w:rPr>
          <w:rFonts w:ascii="Arial" w:eastAsia="Calibri" w:hAnsi="Arial" w:cs="Arial"/>
          <w:color w:val="000000" w:themeColor="text1"/>
          <w:sz w:val="22"/>
          <w:szCs w:val="22"/>
        </w:rPr>
        <w:t>Fluorescent dissolved organic matter (FDOM) will be used to extrapolate carbon quality and assess differences in quality across the BEF basin, and between the Sampson River and its headwater streams.</w:t>
      </w:r>
    </w:p>
    <w:p w14:paraId="6968778C" w14:textId="75D267B2" w:rsidR="008D772E" w:rsidRPr="008A5351" w:rsidRDefault="008D772E" w:rsidP="008D772E">
      <w:pPr>
        <w:ind w:firstLine="360"/>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lastRenderedPageBreak/>
        <w:t>Analyzing DIC is notoriously challenging due to its tendency to degas from the sample causing concentrations to be underestimated. To minimize error, acid-washed Shimadzu sample vials are used in the field to sample DIC, avoiding any potential degassing during decanting. In the field, vials are filled to maximum capacity to prevent head-space equilibration. After collection, all samples are stored in the fridge and analyzed within 48 hours.</w:t>
      </w:r>
    </w:p>
    <w:p w14:paraId="67BF1EE8" w14:textId="77777777" w:rsidR="008D772E" w:rsidRPr="008A5351" w:rsidRDefault="008D772E" w:rsidP="008D772E">
      <w:pPr>
        <w:ind w:firstLine="360"/>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 xml:space="preserve">Both DIC and DOC analyses will be conducted using the Shimadzu TOC-L analyzer, employing the total organic carbon (TOC) measurement method. Although FDOM is more stable than DIC, it can degrade if stored for extended periods, or denatured if frozen. Therefore, FDOM samples are stored in the fridge in opaque, dark bottles and analyzed on the Horiba </w:t>
      </w:r>
      <w:proofErr w:type="spellStart"/>
      <w:r w:rsidRPr="008A5351">
        <w:rPr>
          <w:rFonts w:ascii="Arial" w:eastAsia="Calibri" w:hAnsi="Arial" w:cs="Arial"/>
          <w:color w:val="000000" w:themeColor="text1"/>
          <w:sz w:val="22"/>
          <w:szCs w:val="22"/>
        </w:rPr>
        <w:t>Aqualog</w:t>
      </w:r>
      <w:proofErr w:type="spellEnd"/>
      <w:r w:rsidRPr="008A5351">
        <w:rPr>
          <w:rFonts w:ascii="Arial" w:eastAsia="Calibri" w:hAnsi="Arial" w:cs="Arial"/>
          <w:color w:val="000000" w:themeColor="text1"/>
          <w:sz w:val="22"/>
          <w:szCs w:val="22"/>
        </w:rPr>
        <w:t xml:space="preserve"> within three weeks of collection. POC samples are collected using 500mL to 1L Nalgene bottles, submerged midway in the water column and capped underwater. The samples are then filtered using 0.45-micron filters. These filters are then processed utilizing the ash-free dry weight method.</w:t>
      </w:r>
    </w:p>
    <w:p w14:paraId="6BFB2784" w14:textId="77777777" w:rsidR="00134931" w:rsidRPr="008A5351" w:rsidRDefault="00134931" w:rsidP="00134931">
      <w:pPr>
        <w:rPr>
          <w:rFonts w:ascii="Arial" w:eastAsia="Calibri" w:hAnsi="Arial" w:cs="Arial"/>
          <w:i/>
          <w:iCs/>
          <w:color w:val="000000" w:themeColor="text1"/>
          <w:sz w:val="22"/>
          <w:szCs w:val="22"/>
        </w:rPr>
      </w:pPr>
      <w:r w:rsidRPr="008A5351">
        <w:rPr>
          <w:rFonts w:ascii="Arial" w:eastAsia="Calibri" w:hAnsi="Arial" w:cs="Arial"/>
          <w:i/>
          <w:iCs/>
          <w:color w:val="000000" w:themeColor="text1"/>
          <w:sz w:val="22"/>
          <w:szCs w:val="22"/>
        </w:rPr>
        <w:t xml:space="preserve">Stream Metabolism: </w:t>
      </w:r>
    </w:p>
    <w:p w14:paraId="1D27D9D5" w14:textId="77777777" w:rsidR="00134931" w:rsidRPr="008A5351" w:rsidRDefault="00134931" w:rsidP="00134931">
      <w:pPr>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To estimate the significance of the reactor pathway in flatwood streams, stream metabolism—the rates of gross primary productivity (GPP) and ecosystem respiration (ER)—will be modeled. Stream metabolism serves as a holistic, in-situ measure of stream carbon cycling and organic carbon mineralization. ER represents the total respiration (oxygen consumption) and is the dominant pathway for internal CO2 generation, while GPP represents the total productivity (photosynthesis; oxygen production) within the ecosystem. Assuming a respiration ratio of 1:1 for CO</w:t>
      </w:r>
      <w:r w:rsidRPr="008A5351">
        <w:rPr>
          <w:rFonts w:ascii="Arial" w:eastAsia="Calibri" w:hAnsi="Arial" w:cs="Arial"/>
          <w:color w:val="000000" w:themeColor="text1"/>
          <w:sz w:val="22"/>
          <w:szCs w:val="22"/>
          <w:vertAlign w:val="subscript"/>
        </w:rPr>
        <w:t>2</w:t>
      </w:r>
      <w:r w:rsidRPr="008A5351">
        <w:rPr>
          <w:rFonts w:ascii="Arial" w:eastAsia="Calibri" w:hAnsi="Arial" w:cs="Arial"/>
          <w:color w:val="000000" w:themeColor="text1"/>
          <w:sz w:val="22"/>
          <w:szCs w:val="22"/>
        </w:rPr>
        <w:t xml:space="preserve"> and DO (where every mole of DO consumed results in the respiring of a mole of CO</w:t>
      </w:r>
      <w:r w:rsidRPr="008A5351">
        <w:rPr>
          <w:rFonts w:ascii="Arial" w:eastAsia="Calibri" w:hAnsi="Arial" w:cs="Arial"/>
          <w:color w:val="000000" w:themeColor="text1"/>
          <w:sz w:val="22"/>
          <w:szCs w:val="22"/>
          <w:vertAlign w:val="subscript"/>
        </w:rPr>
        <w:t>2</w:t>
      </w:r>
      <w:r w:rsidRPr="008A5351">
        <w:rPr>
          <w:rFonts w:ascii="Arial" w:eastAsia="Calibri" w:hAnsi="Arial" w:cs="Arial"/>
          <w:color w:val="000000" w:themeColor="text1"/>
          <w:sz w:val="22"/>
          <w:szCs w:val="22"/>
        </w:rPr>
        <w:t>), the difference between observed CO</w:t>
      </w:r>
      <w:r w:rsidRPr="008A5351">
        <w:rPr>
          <w:rFonts w:ascii="Arial" w:eastAsia="Calibri" w:hAnsi="Arial" w:cs="Arial"/>
          <w:color w:val="000000" w:themeColor="text1"/>
          <w:sz w:val="22"/>
          <w:szCs w:val="22"/>
          <w:vertAlign w:val="subscript"/>
        </w:rPr>
        <w:t>2</w:t>
      </w:r>
      <w:r w:rsidRPr="008A5351">
        <w:rPr>
          <w:rFonts w:ascii="Arial" w:eastAsia="Calibri" w:hAnsi="Arial" w:cs="Arial"/>
          <w:color w:val="000000" w:themeColor="text1"/>
          <w:sz w:val="22"/>
          <w:szCs w:val="22"/>
        </w:rPr>
        <w:t>, and CO</w:t>
      </w:r>
      <w:r w:rsidRPr="008A5351">
        <w:rPr>
          <w:rFonts w:ascii="Arial" w:eastAsia="Calibri" w:hAnsi="Arial" w:cs="Arial"/>
          <w:color w:val="000000" w:themeColor="text1"/>
          <w:sz w:val="22"/>
          <w:szCs w:val="22"/>
          <w:vertAlign w:val="subscript"/>
        </w:rPr>
        <w:t>2</w:t>
      </w:r>
      <w:r w:rsidRPr="008A5351">
        <w:rPr>
          <w:rFonts w:ascii="Arial" w:eastAsia="Calibri" w:hAnsi="Arial" w:cs="Arial"/>
          <w:color w:val="000000" w:themeColor="text1"/>
          <w:sz w:val="22"/>
          <w:szCs w:val="22"/>
        </w:rPr>
        <w:t xml:space="preserve"> estimated by ER, indicates allochthonous CO2 from the chimney pathway.</w:t>
      </w:r>
    </w:p>
    <w:p w14:paraId="1CDC82FE" w14:textId="3F2937A4" w:rsidR="00134931" w:rsidRPr="008A5351" w:rsidRDefault="00134931" w:rsidP="00134931">
      <w:pPr>
        <w:rPr>
          <w:rFonts w:ascii="Arial" w:eastAsia="Calibri" w:hAnsi="Arial" w:cs="Arial"/>
          <w:color w:val="000000" w:themeColor="text1"/>
          <w:sz w:val="22"/>
          <w:szCs w:val="22"/>
        </w:rPr>
      </w:pPr>
      <w:r w:rsidRPr="008A5351">
        <w:rPr>
          <w:rFonts w:ascii="Arial" w:eastAsia="Calibri" w:hAnsi="Arial" w:cs="Arial"/>
          <w:color w:val="000000" w:themeColor="text1"/>
          <w:sz w:val="22"/>
          <w:szCs w:val="22"/>
        </w:rPr>
        <w:t>One-station stream metabolism estimates GPP and ER by tracking continuous fluctuations in dissolved oxygen (DO) concentrations (mg/L) over time (</w:t>
      </w:r>
      <w:proofErr w:type="spellStart"/>
      <w:r w:rsidRPr="008A5351">
        <w:rPr>
          <w:rFonts w:ascii="Arial" w:eastAsia="Calibri" w:hAnsi="Arial" w:cs="Arial"/>
          <w:color w:val="000000" w:themeColor="text1"/>
          <w:sz w:val="22"/>
          <w:szCs w:val="22"/>
        </w:rPr>
        <w:t>hr</w:t>
      </w:r>
      <w:proofErr w:type="spellEnd"/>
      <w:r w:rsidRPr="008A5351">
        <w:rPr>
          <w:rFonts w:ascii="Arial" w:eastAsia="Calibri" w:hAnsi="Arial" w:cs="Arial"/>
          <w:color w:val="000000" w:themeColor="text1"/>
          <w:sz w:val="22"/>
          <w:szCs w:val="22"/>
        </w:rPr>
        <w:t xml:space="preserve">^-1) and depth (m^-3), calculating an oxygen flux (g O2 m^-3 </w:t>
      </w:r>
      <w:proofErr w:type="spellStart"/>
      <w:r w:rsidRPr="008A5351">
        <w:rPr>
          <w:rFonts w:ascii="Arial" w:eastAsia="Calibri" w:hAnsi="Arial" w:cs="Arial"/>
          <w:color w:val="000000" w:themeColor="text1"/>
          <w:sz w:val="22"/>
          <w:szCs w:val="22"/>
        </w:rPr>
        <w:t>hr</w:t>
      </w:r>
      <w:proofErr w:type="spellEnd"/>
      <w:r w:rsidRPr="008A5351">
        <w:rPr>
          <w:rFonts w:ascii="Arial" w:eastAsia="Calibri" w:hAnsi="Arial" w:cs="Arial"/>
          <w:color w:val="000000" w:themeColor="text1"/>
          <w:sz w:val="22"/>
          <w:szCs w:val="22"/>
        </w:rPr>
        <w:t xml:space="preserve">^-1) where GPP indicates oxygen production and ER indicates consumption. Stream metabolism modeling will be performed using </w:t>
      </w:r>
      <w:proofErr w:type="spellStart"/>
      <w:r w:rsidRPr="008A5351">
        <w:rPr>
          <w:rFonts w:ascii="Arial" w:eastAsia="Calibri" w:hAnsi="Arial" w:cs="Arial"/>
          <w:color w:val="000000" w:themeColor="text1"/>
          <w:sz w:val="22"/>
          <w:szCs w:val="22"/>
        </w:rPr>
        <w:t>StreamMetabolizer</w:t>
      </w:r>
      <w:proofErr w:type="spellEnd"/>
      <w:r w:rsidRPr="008A5351">
        <w:rPr>
          <w:rFonts w:ascii="Arial" w:eastAsia="Calibri" w:hAnsi="Arial" w:cs="Arial"/>
          <w:color w:val="000000" w:themeColor="text1"/>
          <w:sz w:val="22"/>
          <w:szCs w:val="22"/>
        </w:rPr>
        <w:t xml:space="preserve"> (Appling et al. 2020), an open-source R package that integrates principles from Odum’s </w:t>
      </w:r>
      <w:r w:rsidRPr="008A5351">
        <w:rPr>
          <w:rFonts w:ascii="Arial" w:eastAsia="Calibri" w:hAnsi="Arial" w:cs="Arial"/>
          <w:i/>
          <w:iCs/>
          <w:color w:val="000000" w:themeColor="text1"/>
          <w:sz w:val="22"/>
          <w:szCs w:val="22"/>
        </w:rPr>
        <w:t>Primary Production in Flowing Waters</w:t>
      </w:r>
      <w:r w:rsidRPr="008A5351">
        <w:rPr>
          <w:rFonts w:ascii="Arial" w:eastAsia="Calibri" w:hAnsi="Arial" w:cs="Arial"/>
          <w:color w:val="000000" w:themeColor="text1"/>
          <w:sz w:val="22"/>
          <w:szCs w:val="22"/>
        </w:rPr>
        <w:t xml:space="preserve"> and Bayesian modeling to estimate GPP and ER. </w:t>
      </w:r>
    </w:p>
    <w:p w14:paraId="2CA46486" w14:textId="77777777" w:rsidR="008A5351" w:rsidRPr="008A5351" w:rsidRDefault="008A5351" w:rsidP="008A5351">
      <w:pPr>
        <w:rPr>
          <w:rFonts w:ascii="Arial" w:eastAsia="Calibri" w:hAnsi="Arial" w:cs="Arial"/>
          <w:i/>
          <w:iCs/>
          <w:color w:val="000000" w:themeColor="text1"/>
          <w:sz w:val="22"/>
          <w:szCs w:val="22"/>
        </w:rPr>
      </w:pPr>
      <w:r w:rsidRPr="008A5351">
        <w:rPr>
          <w:rFonts w:ascii="Arial" w:eastAsia="Calibri" w:hAnsi="Arial" w:cs="Arial"/>
          <w:i/>
          <w:iCs/>
          <w:color w:val="000000" w:themeColor="text1"/>
          <w:sz w:val="22"/>
          <w:szCs w:val="22"/>
        </w:rPr>
        <w:t>Estimating Gas Exchange</w:t>
      </w:r>
    </w:p>
    <w:p w14:paraId="39B1466A" w14:textId="77777777" w:rsidR="008A5351" w:rsidRPr="008A5351" w:rsidRDefault="008A5351" w:rsidP="008A5351">
      <w:pPr>
        <w:rPr>
          <w:rFonts w:ascii="Arial" w:eastAsia="Calibri" w:hAnsi="Arial" w:cs="Arial"/>
          <w:i/>
          <w:iCs/>
          <w:color w:val="000000" w:themeColor="text1"/>
          <w:sz w:val="22"/>
          <w:szCs w:val="22"/>
        </w:rPr>
      </w:pPr>
      <w:r w:rsidRPr="008A5351">
        <w:rPr>
          <w:rFonts w:ascii="Arial" w:eastAsia="Calibri" w:hAnsi="Arial" w:cs="Arial"/>
          <w:color w:val="000000" w:themeColor="text1"/>
          <w:sz w:val="22"/>
          <w:szCs w:val="22"/>
        </w:rPr>
        <w:t>To determine air-water exchange rates—an essential parameter for stream metabolism modeling—the reaeration coefficient (K600) will be field-estimated using gas dome methods. During each monthly field visit, K600 will be empirically estimated using a floating dome, an inverted plastic container with a headspace volume of 15.5 L. Within the dome, a high-frequency CO2 sensor will be placed in the headspace, sampling at 1 sample per 10 seconds for approximately 25 minutes. Given that stream CO2 concentrations often exceed 20,000 ppm, the diffusion of CO2 from the water column to the headspace will be monitored to calculate the rate of air-water equilibration. The gas exchange velocity, K (m d^-1), which represents diffusion between the water column and atmosphere (Hall and Ulseth, 2019), and subsequently the reaeration coefficient, k (d^-1) (calculated as K divided by stream depth), were predicted following methodologies outlined by Khadka et al. (2014) and McDowell &amp; Johnson (2018).</w:t>
      </w:r>
    </w:p>
    <w:p w14:paraId="60E73343" w14:textId="77777777" w:rsidR="008A5351" w:rsidRPr="008A5351" w:rsidRDefault="008A5351" w:rsidP="008A5351">
      <w:pPr>
        <w:rPr>
          <w:rFonts w:ascii="Arial" w:eastAsia="Calibri" w:hAnsi="Arial" w:cs="Arial"/>
          <w:i/>
          <w:iCs/>
          <w:color w:val="000000" w:themeColor="text1"/>
          <w:sz w:val="22"/>
          <w:szCs w:val="22"/>
        </w:rPr>
      </w:pPr>
      <w:r w:rsidRPr="008A5351">
        <w:rPr>
          <w:rFonts w:ascii="Arial" w:eastAsia="Calibri" w:hAnsi="Arial" w:cs="Arial"/>
          <w:color w:val="000000" w:themeColor="text1"/>
          <w:sz w:val="22"/>
          <w:szCs w:val="22"/>
        </w:rPr>
        <w:lastRenderedPageBreak/>
        <w:t xml:space="preserve"> Using the field-measured K600 values and discharge data, a rating curve will be developed to enable continuous estimation of K600. This rating curve will be integrated into </w:t>
      </w:r>
      <w:proofErr w:type="spellStart"/>
      <w:r w:rsidRPr="008A5351">
        <w:rPr>
          <w:rFonts w:ascii="Arial" w:eastAsia="Calibri" w:hAnsi="Arial" w:cs="Arial"/>
          <w:i/>
          <w:iCs/>
          <w:color w:val="000000" w:themeColor="text1"/>
          <w:sz w:val="22"/>
          <w:szCs w:val="22"/>
        </w:rPr>
        <w:t>StreamMetabolizer</w:t>
      </w:r>
      <w:proofErr w:type="spellEnd"/>
      <w:r w:rsidRPr="008A5351">
        <w:rPr>
          <w:rFonts w:ascii="Arial" w:eastAsia="Calibri" w:hAnsi="Arial" w:cs="Arial"/>
          <w:color w:val="000000" w:themeColor="text1"/>
          <w:sz w:val="22"/>
          <w:szCs w:val="22"/>
        </w:rPr>
        <w:t xml:space="preserve"> to refine K600 estimates as a function of discharge to improve accuracy. Discharge measurements will be obtained through periodic dilution gauging. During monthly field visits, streams with observable flow will undergo dilution gauging using salt dilution techniques and slug-injection methods. By correlating depth at the time of dilution gauging with discharge rates, a rating curve will be constructed to maintain continuous discharge estimates.</w:t>
      </w:r>
    </w:p>
    <w:p w14:paraId="0D016C17" w14:textId="77777777" w:rsidR="008A5351" w:rsidRPr="008A5351" w:rsidRDefault="008A5351" w:rsidP="008A5351">
      <w:pPr>
        <w:rPr>
          <w:rFonts w:ascii="Arial" w:eastAsia="Calibri" w:hAnsi="Arial" w:cs="Arial"/>
          <w:color w:val="000000" w:themeColor="text1"/>
          <w:sz w:val="22"/>
          <w:szCs w:val="22"/>
        </w:rPr>
      </w:pPr>
      <w:r w:rsidRPr="008A5351">
        <w:rPr>
          <w:rFonts w:ascii="Arial" w:eastAsia="Calibri" w:hAnsi="Arial" w:cs="Arial"/>
          <w:i/>
          <w:iCs/>
          <w:color w:val="000000" w:themeColor="text1"/>
          <w:sz w:val="22"/>
          <w:szCs w:val="22"/>
        </w:rPr>
        <w:t>DIC Interpolation</w:t>
      </w:r>
      <w:r w:rsidRPr="008A5351">
        <w:rPr>
          <w:rFonts w:ascii="Arial" w:eastAsia="Calibri" w:hAnsi="Arial" w:cs="Arial"/>
          <w:color w:val="000000" w:themeColor="text1"/>
          <w:sz w:val="22"/>
          <w:szCs w:val="22"/>
        </w:rPr>
        <w:t>:</w:t>
      </w:r>
    </w:p>
    <w:p w14:paraId="0A9C662E" w14:textId="77777777" w:rsidR="008A5351" w:rsidRDefault="008A5351" w:rsidP="008A5351">
      <w:pPr>
        <w:rPr>
          <w:rFonts w:ascii="Arial" w:hAnsi="Arial" w:cs="Arial"/>
          <w:sz w:val="22"/>
          <w:szCs w:val="22"/>
        </w:rPr>
      </w:pPr>
      <w:r w:rsidRPr="008A5351">
        <w:rPr>
          <w:rFonts w:ascii="Arial" w:hAnsi="Arial" w:cs="Arial"/>
          <w:sz w:val="22"/>
          <w:szCs w:val="22"/>
        </w:rPr>
        <w:t xml:space="preserve">Using the Bjerrum equation, continuous bicarbonate (HCO3^-) concentrations will be interpolated from temperature, pressure (PT), pH, and CO2 sensor measurements. The R package </w:t>
      </w:r>
      <w:proofErr w:type="spellStart"/>
      <w:r w:rsidRPr="008A5351">
        <w:rPr>
          <w:rFonts w:ascii="Arial" w:hAnsi="Arial" w:cs="Arial"/>
          <w:i/>
          <w:iCs/>
          <w:sz w:val="22"/>
          <w:szCs w:val="22"/>
        </w:rPr>
        <w:t>seacarb</w:t>
      </w:r>
      <w:proofErr w:type="spellEnd"/>
      <w:r w:rsidRPr="008A5351">
        <w:rPr>
          <w:rFonts w:ascii="Arial" w:hAnsi="Arial" w:cs="Arial"/>
          <w:sz w:val="22"/>
          <w:szCs w:val="22"/>
        </w:rPr>
        <w:t xml:space="preserve"> facilitates estimation of the first and second dissociation constants of carbonic acid based on temperature and water pressure, streamlining data manipulation processes.</w:t>
      </w:r>
    </w:p>
    <w:p w14:paraId="72F66ADD" w14:textId="4BD36632" w:rsidR="008A5351" w:rsidRDefault="008A5351" w:rsidP="008A5351">
      <w:pPr>
        <w:rPr>
          <w:rFonts w:ascii="Arial" w:hAnsi="Arial" w:cs="Arial"/>
          <w:sz w:val="22"/>
          <w:szCs w:val="22"/>
        </w:rPr>
      </w:pPr>
      <w:r>
        <w:rPr>
          <w:rFonts w:ascii="Arial" w:hAnsi="Arial" w:cs="Arial"/>
          <w:sz w:val="22"/>
          <w:szCs w:val="22"/>
          <w:u w:val="single"/>
        </w:rPr>
        <w:t>Preliminary Results:</w:t>
      </w:r>
    </w:p>
    <w:p w14:paraId="2BF803F8" w14:textId="77777777" w:rsidR="008A5351" w:rsidRPr="008A5351" w:rsidRDefault="008A5351" w:rsidP="008A5351">
      <w:pPr>
        <w:rPr>
          <w:rFonts w:ascii="Arial" w:hAnsi="Arial" w:cs="Arial"/>
          <w:sz w:val="22"/>
          <w:szCs w:val="22"/>
        </w:rPr>
      </w:pPr>
    </w:p>
    <w:p w14:paraId="3B05D27A" w14:textId="77777777" w:rsidR="008D772E" w:rsidRPr="008A5351" w:rsidRDefault="008D772E" w:rsidP="00134931">
      <w:pPr>
        <w:rPr>
          <w:rFonts w:ascii="Arial" w:eastAsia="Calibri" w:hAnsi="Arial" w:cs="Arial"/>
          <w:color w:val="000000" w:themeColor="text1"/>
          <w:sz w:val="22"/>
          <w:szCs w:val="22"/>
        </w:rPr>
      </w:pPr>
    </w:p>
    <w:p w14:paraId="35058672" w14:textId="77777777" w:rsidR="00CB2C17" w:rsidRPr="008A5351" w:rsidRDefault="00CB2C17" w:rsidP="003321D4">
      <w:pPr>
        <w:rPr>
          <w:rFonts w:ascii="Arial" w:eastAsia="Calibri" w:hAnsi="Arial" w:cs="Arial"/>
          <w:color w:val="000000" w:themeColor="text1"/>
          <w:sz w:val="22"/>
          <w:szCs w:val="22"/>
        </w:rPr>
      </w:pPr>
    </w:p>
    <w:p w14:paraId="4243599A" w14:textId="77777777" w:rsidR="003321D4" w:rsidRPr="008A5351" w:rsidRDefault="003321D4" w:rsidP="003321D4">
      <w:pPr>
        <w:rPr>
          <w:rFonts w:ascii="Arial" w:eastAsia="Calibri" w:hAnsi="Arial" w:cs="Arial"/>
          <w:color w:val="000000" w:themeColor="text1"/>
          <w:sz w:val="22"/>
          <w:szCs w:val="22"/>
        </w:rPr>
      </w:pPr>
    </w:p>
    <w:p w14:paraId="7FAC00DE" w14:textId="77777777" w:rsidR="003321D4" w:rsidRPr="008A5351" w:rsidRDefault="003321D4" w:rsidP="00B87CA8">
      <w:pPr>
        <w:rPr>
          <w:rFonts w:ascii="Arial" w:hAnsi="Arial" w:cs="Arial"/>
          <w:b/>
          <w:bCs/>
          <w:sz w:val="22"/>
          <w:szCs w:val="22"/>
        </w:rPr>
      </w:pPr>
    </w:p>
    <w:sectPr w:rsidR="003321D4" w:rsidRPr="008A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752"/>
    <w:multiLevelType w:val="hybridMultilevel"/>
    <w:tmpl w:val="C3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A61AF9"/>
    <w:multiLevelType w:val="hybridMultilevel"/>
    <w:tmpl w:val="F8D0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85388"/>
    <w:multiLevelType w:val="hybridMultilevel"/>
    <w:tmpl w:val="AC32A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65C97"/>
    <w:multiLevelType w:val="hybridMultilevel"/>
    <w:tmpl w:val="0BB8165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403971">
    <w:abstractNumId w:val="0"/>
  </w:num>
  <w:num w:numId="2" w16cid:durableId="414129254">
    <w:abstractNumId w:val="2"/>
  </w:num>
  <w:num w:numId="3" w16cid:durableId="1264999712">
    <w:abstractNumId w:val="3"/>
  </w:num>
  <w:num w:numId="4" w16cid:durableId="107626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B9"/>
    <w:rsid w:val="00004F82"/>
    <w:rsid w:val="00134931"/>
    <w:rsid w:val="00137016"/>
    <w:rsid w:val="001D64A1"/>
    <w:rsid w:val="00223A0C"/>
    <w:rsid w:val="0033133C"/>
    <w:rsid w:val="003321D4"/>
    <w:rsid w:val="003A06E2"/>
    <w:rsid w:val="003E1644"/>
    <w:rsid w:val="004058AF"/>
    <w:rsid w:val="00433D71"/>
    <w:rsid w:val="004B4AE2"/>
    <w:rsid w:val="00532140"/>
    <w:rsid w:val="00532ACA"/>
    <w:rsid w:val="00596102"/>
    <w:rsid w:val="00670DBC"/>
    <w:rsid w:val="006D529E"/>
    <w:rsid w:val="007464B9"/>
    <w:rsid w:val="007643DE"/>
    <w:rsid w:val="00860E67"/>
    <w:rsid w:val="00883853"/>
    <w:rsid w:val="008A5351"/>
    <w:rsid w:val="008D37D1"/>
    <w:rsid w:val="008D535E"/>
    <w:rsid w:val="008D772E"/>
    <w:rsid w:val="00914D35"/>
    <w:rsid w:val="00A951B9"/>
    <w:rsid w:val="00AB37D3"/>
    <w:rsid w:val="00AC44D3"/>
    <w:rsid w:val="00AE3228"/>
    <w:rsid w:val="00AE6D91"/>
    <w:rsid w:val="00B1016B"/>
    <w:rsid w:val="00B238C8"/>
    <w:rsid w:val="00B87CA8"/>
    <w:rsid w:val="00BC39BD"/>
    <w:rsid w:val="00C15C95"/>
    <w:rsid w:val="00C21527"/>
    <w:rsid w:val="00C73BB9"/>
    <w:rsid w:val="00C90713"/>
    <w:rsid w:val="00CB2C17"/>
    <w:rsid w:val="00CB308C"/>
    <w:rsid w:val="00CC37FA"/>
    <w:rsid w:val="00D37C3B"/>
    <w:rsid w:val="00D75B71"/>
    <w:rsid w:val="00DF751B"/>
    <w:rsid w:val="00E57657"/>
    <w:rsid w:val="00E8719F"/>
    <w:rsid w:val="00EF268E"/>
    <w:rsid w:val="00F66C4B"/>
    <w:rsid w:val="00FF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9AB4"/>
  <w15:chartTrackingRefBased/>
  <w15:docId w15:val="{87342B70-32FA-4347-9A34-0DB30633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B9"/>
    <w:rPr>
      <w:rFonts w:eastAsiaTheme="majorEastAsia" w:cstheme="majorBidi"/>
      <w:color w:val="272727" w:themeColor="text1" w:themeTint="D8"/>
    </w:rPr>
  </w:style>
  <w:style w:type="paragraph" w:styleId="Title">
    <w:name w:val="Title"/>
    <w:basedOn w:val="Normal"/>
    <w:next w:val="Normal"/>
    <w:link w:val="TitleChar"/>
    <w:uiPriority w:val="10"/>
    <w:qFormat/>
    <w:rsid w:val="00A95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B9"/>
    <w:pPr>
      <w:spacing w:before="160"/>
      <w:jc w:val="center"/>
    </w:pPr>
    <w:rPr>
      <w:i/>
      <w:iCs/>
      <w:color w:val="404040" w:themeColor="text1" w:themeTint="BF"/>
    </w:rPr>
  </w:style>
  <w:style w:type="character" w:customStyle="1" w:styleId="QuoteChar">
    <w:name w:val="Quote Char"/>
    <w:basedOn w:val="DefaultParagraphFont"/>
    <w:link w:val="Quote"/>
    <w:uiPriority w:val="29"/>
    <w:rsid w:val="00A951B9"/>
    <w:rPr>
      <w:i/>
      <w:iCs/>
      <w:color w:val="404040" w:themeColor="text1" w:themeTint="BF"/>
    </w:rPr>
  </w:style>
  <w:style w:type="paragraph" w:styleId="ListParagraph">
    <w:name w:val="List Paragraph"/>
    <w:basedOn w:val="Normal"/>
    <w:uiPriority w:val="34"/>
    <w:qFormat/>
    <w:rsid w:val="00A951B9"/>
    <w:pPr>
      <w:ind w:left="720"/>
      <w:contextualSpacing/>
    </w:pPr>
  </w:style>
  <w:style w:type="character" w:styleId="IntenseEmphasis">
    <w:name w:val="Intense Emphasis"/>
    <w:basedOn w:val="DefaultParagraphFont"/>
    <w:uiPriority w:val="21"/>
    <w:qFormat/>
    <w:rsid w:val="00A951B9"/>
    <w:rPr>
      <w:i/>
      <w:iCs/>
      <w:color w:val="0F4761" w:themeColor="accent1" w:themeShade="BF"/>
    </w:rPr>
  </w:style>
  <w:style w:type="paragraph" w:styleId="IntenseQuote">
    <w:name w:val="Intense Quote"/>
    <w:basedOn w:val="Normal"/>
    <w:next w:val="Normal"/>
    <w:link w:val="IntenseQuoteChar"/>
    <w:uiPriority w:val="30"/>
    <w:qFormat/>
    <w:rsid w:val="00A95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B9"/>
    <w:rPr>
      <w:i/>
      <w:iCs/>
      <w:color w:val="0F4761" w:themeColor="accent1" w:themeShade="BF"/>
    </w:rPr>
  </w:style>
  <w:style w:type="character" w:styleId="IntenseReference">
    <w:name w:val="Intense Reference"/>
    <w:basedOn w:val="DefaultParagraphFont"/>
    <w:uiPriority w:val="32"/>
    <w:qFormat/>
    <w:rsid w:val="00A951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474524">
      <w:bodyDiv w:val="1"/>
      <w:marLeft w:val="0"/>
      <w:marRight w:val="0"/>
      <w:marTop w:val="0"/>
      <w:marBottom w:val="0"/>
      <w:divBdr>
        <w:top w:val="none" w:sz="0" w:space="0" w:color="auto"/>
        <w:left w:val="none" w:sz="0" w:space="0" w:color="auto"/>
        <w:bottom w:val="none" w:sz="0" w:space="0" w:color="auto"/>
        <w:right w:val="none" w:sz="0" w:space="0" w:color="auto"/>
      </w:divBdr>
    </w:div>
    <w:div w:id="366872864">
      <w:bodyDiv w:val="1"/>
      <w:marLeft w:val="0"/>
      <w:marRight w:val="0"/>
      <w:marTop w:val="0"/>
      <w:marBottom w:val="0"/>
      <w:divBdr>
        <w:top w:val="none" w:sz="0" w:space="0" w:color="auto"/>
        <w:left w:val="none" w:sz="0" w:space="0" w:color="auto"/>
        <w:bottom w:val="none" w:sz="0" w:space="0" w:color="auto"/>
        <w:right w:val="none" w:sz="0" w:space="0" w:color="auto"/>
      </w:divBdr>
    </w:div>
    <w:div w:id="394934142">
      <w:bodyDiv w:val="1"/>
      <w:marLeft w:val="0"/>
      <w:marRight w:val="0"/>
      <w:marTop w:val="0"/>
      <w:marBottom w:val="0"/>
      <w:divBdr>
        <w:top w:val="none" w:sz="0" w:space="0" w:color="auto"/>
        <w:left w:val="none" w:sz="0" w:space="0" w:color="auto"/>
        <w:bottom w:val="none" w:sz="0" w:space="0" w:color="auto"/>
        <w:right w:val="none" w:sz="0" w:space="0" w:color="auto"/>
      </w:divBdr>
    </w:div>
    <w:div w:id="915018881">
      <w:bodyDiv w:val="1"/>
      <w:marLeft w:val="0"/>
      <w:marRight w:val="0"/>
      <w:marTop w:val="0"/>
      <w:marBottom w:val="0"/>
      <w:divBdr>
        <w:top w:val="none" w:sz="0" w:space="0" w:color="auto"/>
        <w:left w:val="none" w:sz="0" w:space="0" w:color="auto"/>
        <w:bottom w:val="none" w:sz="0" w:space="0" w:color="auto"/>
        <w:right w:val="none" w:sz="0" w:space="0" w:color="auto"/>
      </w:divBdr>
    </w:div>
    <w:div w:id="1273050379">
      <w:bodyDiv w:val="1"/>
      <w:marLeft w:val="0"/>
      <w:marRight w:val="0"/>
      <w:marTop w:val="0"/>
      <w:marBottom w:val="0"/>
      <w:divBdr>
        <w:top w:val="none" w:sz="0" w:space="0" w:color="auto"/>
        <w:left w:val="none" w:sz="0" w:space="0" w:color="auto"/>
        <w:bottom w:val="none" w:sz="0" w:space="0" w:color="auto"/>
        <w:right w:val="none" w:sz="0" w:space="0" w:color="auto"/>
      </w:divBdr>
    </w:div>
    <w:div w:id="1323123627">
      <w:bodyDiv w:val="1"/>
      <w:marLeft w:val="0"/>
      <w:marRight w:val="0"/>
      <w:marTop w:val="0"/>
      <w:marBottom w:val="0"/>
      <w:divBdr>
        <w:top w:val="none" w:sz="0" w:space="0" w:color="auto"/>
        <w:left w:val="none" w:sz="0" w:space="0" w:color="auto"/>
        <w:bottom w:val="none" w:sz="0" w:space="0" w:color="auto"/>
        <w:right w:val="none" w:sz="0" w:space="0" w:color="auto"/>
      </w:divBdr>
    </w:div>
    <w:div w:id="1667510823">
      <w:bodyDiv w:val="1"/>
      <w:marLeft w:val="0"/>
      <w:marRight w:val="0"/>
      <w:marTop w:val="0"/>
      <w:marBottom w:val="0"/>
      <w:divBdr>
        <w:top w:val="none" w:sz="0" w:space="0" w:color="auto"/>
        <w:left w:val="none" w:sz="0" w:space="0" w:color="auto"/>
        <w:bottom w:val="none" w:sz="0" w:space="0" w:color="auto"/>
        <w:right w:val="none" w:sz="0" w:space="0" w:color="auto"/>
      </w:divBdr>
    </w:div>
    <w:div w:id="1707370780">
      <w:bodyDiv w:val="1"/>
      <w:marLeft w:val="0"/>
      <w:marRight w:val="0"/>
      <w:marTop w:val="0"/>
      <w:marBottom w:val="0"/>
      <w:divBdr>
        <w:top w:val="none" w:sz="0" w:space="0" w:color="auto"/>
        <w:left w:val="none" w:sz="0" w:space="0" w:color="auto"/>
        <w:bottom w:val="none" w:sz="0" w:space="0" w:color="auto"/>
        <w:right w:val="none" w:sz="0" w:space="0" w:color="auto"/>
      </w:divBdr>
    </w:div>
    <w:div w:id="1712612662">
      <w:bodyDiv w:val="1"/>
      <w:marLeft w:val="0"/>
      <w:marRight w:val="0"/>
      <w:marTop w:val="0"/>
      <w:marBottom w:val="0"/>
      <w:divBdr>
        <w:top w:val="none" w:sz="0" w:space="0" w:color="auto"/>
        <w:left w:val="none" w:sz="0" w:space="0" w:color="auto"/>
        <w:bottom w:val="none" w:sz="0" w:space="0" w:color="auto"/>
        <w:right w:val="none" w:sz="0" w:space="0" w:color="auto"/>
      </w:divBdr>
    </w:div>
    <w:div w:id="1917474122">
      <w:bodyDiv w:val="1"/>
      <w:marLeft w:val="0"/>
      <w:marRight w:val="0"/>
      <w:marTop w:val="0"/>
      <w:marBottom w:val="0"/>
      <w:divBdr>
        <w:top w:val="none" w:sz="0" w:space="0" w:color="auto"/>
        <w:left w:val="none" w:sz="0" w:space="0" w:color="auto"/>
        <w:bottom w:val="none" w:sz="0" w:space="0" w:color="auto"/>
        <w:right w:val="none" w:sz="0" w:space="0" w:color="auto"/>
      </w:divBdr>
    </w:div>
    <w:div w:id="203503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495</TotalTime>
  <Pages>6</Pages>
  <Words>2476</Words>
  <Characters>14115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Howley,Samantha T</dc:creator>
  <cp:keywords/>
  <dc:description/>
  <cp:lastModifiedBy>Howley,Samantha T</cp:lastModifiedBy>
  <cp:revision>17</cp:revision>
  <dcterms:created xsi:type="dcterms:W3CDTF">2024-07-21T17:26:00Z</dcterms:created>
  <dcterms:modified xsi:type="dcterms:W3CDTF">2024-07-22T14:25:00Z</dcterms:modified>
</cp:coreProperties>
</file>